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1C6D" w14:textId="21913135" w:rsidR="00FF154C" w:rsidRDefault="00FF154C" w:rsidP="00FF154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200" w:line="240" w:lineRule="auto"/>
        <w:rPr>
          <w:i/>
          <w:color w:val="000000"/>
          <w:sz w:val="20"/>
          <w:szCs w:val="20"/>
        </w:rPr>
      </w:pPr>
      <w:r w:rsidRPr="00FF154C">
        <w:rPr>
          <w:b/>
          <w:color w:val="000000"/>
        </w:rPr>
        <w:t xml:space="preserve">Anexo </w:t>
      </w:r>
      <w:r w:rsidR="00B63D6D">
        <w:rPr>
          <w:b/>
          <w:color w:val="000000"/>
        </w:rPr>
        <w:t>K</w:t>
      </w:r>
      <w:r w:rsidR="00B63D6D">
        <w:rPr>
          <w:rStyle w:val="Refdenotaalpie"/>
          <w:b/>
          <w:color w:val="000000"/>
        </w:rPr>
        <w:footnoteReference w:id="1"/>
      </w:r>
      <w:r w:rsidRPr="00FF154C">
        <w:rPr>
          <w:b/>
          <w:color w:val="000000"/>
        </w:rPr>
        <w:t>:</w:t>
      </w:r>
      <w:r>
        <w:rPr>
          <w:color w:val="000000"/>
        </w:rPr>
        <w:t xml:space="preserve"> Lista de verificación de desarrollo de componentes clave del CDE</w:t>
      </w:r>
    </w:p>
    <w:tbl>
      <w:tblPr>
        <w:tblW w:w="9067" w:type="dxa"/>
        <w:jc w:val="center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34"/>
        <w:gridCol w:w="850"/>
        <w:gridCol w:w="2835"/>
        <w:gridCol w:w="567"/>
        <w:gridCol w:w="709"/>
        <w:gridCol w:w="1417"/>
      </w:tblGrid>
      <w:tr w:rsidR="00FF154C" w14:paraId="35B6FE79" w14:textId="77777777" w:rsidTr="0003129C">
        <w:trPr>
          <w:jc w:val="center"/>
        </w:trPr>
        <w:tc>
          <w:tcPr>
            <w:tcW w:w="2689" w:type="dxa"/>
            <w:gridSpan w:val="2"/>
            <w:vMerge w:val="restart"/>
            <w:shd w:val="clear" w:color="auto" w:fill="BFBFBF"/>
            <w:vAlign w:val="center"/>
          </w:tcPr>
          <w:p w14:paraId="2A4A4EA0" w14:textId="77777777" w:rsidR="00FF154C" w:rsidRDefault="00FF154C" w:rsidP="0003129C">
            <w:pPr>
              <w:jc w:val="center"/>
            </w:pPr>
            <w:r>
              <w:t>Componente del CDE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14:paraId="7FB71F78" w14:textId="77777777" w:rsidR="00FF154C" w:rsidRDefault="00FF154C" w:rsidP="0003129C">
            <w:pPr>
              <w:ind w:firstLine="66"/>
              <w:jc w:val="center"/>
            </w:pPr>
            <w:r>
              <w:t>Ítem ISO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2F3F4C82" w14:textId="77777777" w:rsidR="00FF154C" w:rsidRDefault="00FF154C" w:rsidP="0003129C">
            <w:pPr>
              <w:ind w:firstLine="66"/>
              <w:jc w:val="center"/>
            </w:pPr>
            <w:r>
              <w:t>Pregunta de validación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14:paraId="2A66F244" w14:textId="77777777" w:rsidR="00FF154C" w:rsidRDefault="00FF154C" w:rsidP="0003129C">
            <w:pPr>
              <w:ind w:firstLine="66"/>
              <w:jc w:val="center"/>
            </w:pPr>
            <w:r>
              <w:t>Validado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14:paraId="4A68E8C7" w14:textId="77777777" w:rsidR="00FF154C" w:rsidRDefault="00FF154C" w:rsidP="0003129C">
            <w:pPr>
              <w:ind w:firstLine="66"/>
              <w:jc w:val="center"/>
            </w:pPr>
            <w:r>
              <w:t>Observaciones</w:t>
            </w:r>
          </w:p>
        </w:tc>
      </w:tr>
      <w:tr w:rsidR="00FF154C" w14:paraId="30BBE996" w14:textId="77777777" w:rsidTr="0003129C">
        <w:trPr>
          <w:jc w:val="center"/>
        </w:trPr>
        <w:tc>
          <w:tcPr>
            <w:tcW w:w="2689" w:type="dxa"/>
            <w:gridSpan w:val="2"/>
            <w:vMerge/>
            <w:shd w:val="clear" w:color="auto" w:fill="BFBFBF"/>
            <w:vAlign w:val="center"/>
          </w:tcPr>
          <w:p w14:paraId="484D3C2D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Merge/>
            <w:shd w:val="clear" w:color="auto" w:fill="BFBFBF"/>
            <w:vAlign w:val="center"/>
          </w:tcPr>
          <w:p w14:paraId="560A6A7B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14:paraId="68A3CC3E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6EDF6560" w14:textId="77777777" w:rsidR="00FF154C" w:rsidRDefault="00FF154C" w:rsidP="0003129C">
            <w:pPr>
              <w:ind w:firstLine="66"/>
            </w:pPr>
            <w:r>
              <w:t>Si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0B410193" w14:textId="77777777" w:rsidR="00FF154C" w:rsidRDefault="00FF154C" w:rsidP="0003129C">
            <w:pPr>
              <w:ind w:firstLine="66"/>
            </w:pPr>
            <w:r>
              <w:t>No</w:t>
            </w:r>
          </w:p>
        </w:tc>
        <w:tc>
          <w:tcPr>
            <w:tcW w:w="1417" w:type="dxa"/>
            <w:vMerge/>
            <w:shd w:val="clear" w:color="auto" w:fill="BFBFBF"/>
            <w:vAlign w:val="center"/>
          </w:tcPr>
          <w:p w14:paraId="57E614E1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FF154C" w14:paraId="2C5142EE" w14:textId="77777777" w:rsidTr="0003129C">
        <w:trPr>
          <w:trHeight w:val="1134"/>
          <w:jc w:val="center"/>
        </w:trPr>
        <w:tc>
          <w:tcPr>
            <w:tcW w:w="1555" w:type="dxa"/>
            <w:vMerge w:val="restart"/>
            <w:vAlign w:val="center"/>
          </w:tcPr>
          <w:p w14:paraId="33FCDDE9" w14:textId="77777777" w:rsidR="00FF154C" w:rsidRDefault="00FF154C" w:rsidP="0003129C">
            <w:pPr>
              <w:ind w:firstLine="66"/>
            </w:pPr>
            <w:r>
              <w:t>Convenio de nomenclatura y metadatos.</w:t>
            </w:r>
          </w:p>
        </w:tc>
        <w:tc>
          <w:tcPr>
            <w:tcW w:w="1134" w:type="dxa"/>
            <w:vMerge w:val="restart"/>
            <w:vAlign w:val="center"/>
          </w:tcPr>
          <w:p w14:paraId="06D9F2E3" w14:textId="77777777" w:rsidR="00FF154C" w:rsidRDefault="00FF154C" w:rsidP="0003129C">
            <w:pPr>
              <w:ind w:firstLine="66"/>
              <w:jc w:val="center"/>
            </w:pPr>
            <w:r>
              <w:t>Códigos de categoría</w:t>
            </w:r>
          </w:p>
        </w:tc>
        <w:tc>
          <w:tcPr>
            <w:tcW w:w="850" w:type="dxa"/>
            <w:vAlign w:val="center"/>
          </w:tcPr>
          <w:p w14:paraId="7247ADA0" w14:textId="77777777" w:rsidR="00FF154C" w:rsidRDefault="00FF154C" w:rsidP="0003129C">
            <w:pPr>
              <w:ind w:firstLine="66"/>
            </w:pPr>
            <w:r>
              <w:t>5.1.4</w:t>
            </w:r>
          </w:p>
        </w:tc>
        <w:tc>
          <w:tcPr>
            <w:tcW w:w="2835" w:type="dxa"/>
            <w:vAlign w:val="center"/>
          </w:tcPr>
          <w:p w14:paraId="42DCD80C" w14:textId="77777777" w:rsidR="00FF154C" w:rsidRDefault="00FF154C" w:rsidP="0003129C">
            <w:pPr>
              <w:ind w:firstLine="66"/>
            </w:pPr>
            <w:r>
              <w:t xml:space="preserve">¿Se definieron los códigos de categoría que serán usados para la inversión por la Parte que Designa? </w:t>
            </w:r>
          </w:p>
        </w:tc>
        <w:tc>
          <w:tcPr>
            <w:tcW w:w="567" w:type="dxa"/>
            <w:vAlign w:val="center"/>
          </w:tcPr>
          <w:p w14:paraId="2D592731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50414CAE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74278CCB" w14:textId="77777777" w:rsidR="00FF154C" w:rsidRDefault="00FF154C" w:rsidP="0003129C">
            <w:pPr>
              <w:ind w:firstLine="66"/>
            </w:pPr>
          </w:p>
        </w:tc>
      </w:tr>
      <w:tr w:rsidR="00FF154C" w14:paraId="7208E7CB" w14:textId="77777777" w:rsidTr="0003129C">
        <w:trPr>
          <w:jc w:val="center"/>
        </w:trPr>
        <w:tc>
          <w:tcPr>
            <w:tcW w:w="1555" w:type="dxa"/>
            <w:vMerge/>
            <w:vAlign w:val="center"/>
          </w:tcPr>
          <w:p w14:paraId="44816F9D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34A3BAFE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14:paraId="08497DC4" w14:textId="77777777" w:rsidR="00FF154C" w:rsidRDefault="00FF154C" w:rsidP="0003129C">
            <w:pPr>
              <w:ind w:firstLine="66"/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14:paraId="066A735E" w14:textId="77777777" w:rsidR="00FF154C" w:rsidRDefault="00FF154C" w:rsidP="0003129C">
            <w:pPr>
              <w:ind w:firstLine="66"/>
            </w:pPr>
            <w:r>
              <w:t>¿Los códigos de categoría han sido revisados, modificados y acordados, por la Parte que Designa y la Parte Designada Principal, para adaptarse a los requisitos de entrega establecidos en el contrato?</w:t>
            </w:r>
          </w:p>
        </w:tc>
        <w:tc>
          <w:tcPr>
            <w:tcW w:w="567" w:type="dxa"/>
            <w:vAlign w:val="center"/>
          </w:tcPr>
          <w:p w14:paraId="3CD8823D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590934A0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5134CF7E" w14:textId="77777777" w:rsidR="00FF154C" w:rsidRDefault="00FF154C" w:rsidP="0003129C">
            <w:pPr>
              <w:ind w:firstLine="66"/>
            </w:pPr>
          </w:p>
        </w:tc>
      </w:tr>
      <w:tr w:rsidR="00FF154C" w14:paraId="78A15DB6" w14:textId="77777777" w:rsidTr="0003129C">
        <w:trPr>
          <w:trHeight w:val="1356"/>
          <w:jc w:val="center"/>
        </w:trPr>
        <w:tc>
          <w:tcPr>
            <w:tcW w:w="1555" w:type="dxa"/>
            <w:vMerge/>
            <w:vAlign w:val="center"/>
          </w:tcPr>
          <w:p w14:paraId="5AB13A79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14:paraId="5C1D2B2B" w14:textId="77777777" w:rsidR="00FF154C" w:rsidRDefault="00FF154C" w:rsidP="0003129C">
            <w:pPr>
              <w:ind w:firstLine="66"/>
              <w:jc w:val="center"/>
            </w:pPr>
            <w:r>
              <w:t>Códigos de revisión</w:t>
            </w:r>
          </w:p>
        </w:tc>
        <w:tc>
          <w:tcPr>
            <w:tcW w:w="850" w:type="dxa"/>
            <w:vAlign w:val="center"/>
          </w:tcPr>
          <w:p w14:paraId="660DEA15" w14:textId="77777777" w:rsidR="00FF154C" w:rsidRDefault="00FF154C" w:rsidP="0003129C">
            <w:pPr>
              <w:ind w:firstLine="66"/>
              <w:rPr>
                <w:color w:val="0070C0"/>
              </w:rPr>
            </w:pPr>
            <w:r>
              <w:t>5.1.4</w:t>
            </w:r>
          </w:p>
        </w:tc>
        <w:tc>
          <w:tcPr>
            <w:tcW w:w="2835" w:type="dxa"/>
            <w:vAlign w:val="center"/>
          </w:tcPr>
          <w:p w14:paraId="3EDA2330" w14:textId="77777777" w:rsidR="00FF154C" w:rsidRDefault="00FF154C" w:rsidP="0003129C">
            <w:pPr>
              <w:ind w:firstLine="66"/>
              <w:rPr>
                <w:color w:val="0070C0"/>
              </w:rPr>
            </w:pPr>
            <w:r>
              <w:t>¿Se definieron los códigos de revisión que serán usados para la inversión por la Parte que Designa?</w:t>
            </w:r>
          </w:p>
        </w:tc>
        <w:tc>
          <w:tcPr>
            <w:tcW w:w="567" w:type="dxa"/>
            <w:vAlign w:val="center"/>
          </w:tcPr>
          <w:p w14:paraId="5184B011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6A636EE4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03A1FE31" w14:textId="77777777" w:rsidR="00FF154C" w:rsidRDefault="00FF154C" w:rsidP="0003129C">
            <w:pPr>
              <w:ind w:firstLine="66"/>
            </w:pPr>
          </w:p>
        </w:tc>
      </w:tr>
      <w:tr w:rsidR="00FF154C" w14:paraId="5FF8C343" w14:textId="77777777" w:rsidTr="0003129C">
        <w:trPr>
          <w:trHeight w:val="2088"/>
          <w:jc w:val="center"/>
        </w:trPr>
        <w:tc>
          <w:tcPr>
            <w:tcW w:w="1555" w:type="dxa"/>
            <w:vMerge/>
            <w:vAlign w:val="center"/>
          </w:tcPr>
          <w:p w14:paraId="61950CFF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2E207279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14:paraId="2DD44BA6" w14:textId="77777777" w:rsidR="00FF154C" w:rsidRDefault="00FF154C" w:rsidP="0003129C">
            <w:pPr>
              <w:ind w:firstLine="66"/>
              <w:rPr>
                <w:color w:val="0070C0"/>
              </w:rPr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14:paraId="4466E1EA" w14:textId="77777777" w:rsidR="00FF154C" w:rsidRDefault="00FF154C" w:rsidP="0003129C">
            <w:pPr>
              <w:ind w:firstLine="66"/>
            </w:pPr>
            <w:r>
              <w:t>¿Los códigos de revisión han sido revisados, modificados y acordados, por la Parte que Designa y la Parte Designada Principal, para adaptarse a los requisitos de entrega establecidos en el contrato?</w:t>
            </w:r>
          </w:p>
          <w:p w14:paraId="39F5BA34" w14:textId="77777777" w:rsidR="00FF154C" w:rsidRDefault="00FF154C" w:rsidP="0003129C">
            <w:pPr>
              <w:ind w:firstLine="66"/>
            </w:pPr>
          </w:p>
        </w:tc>
        <w:tc>
          <w:tcPr>
            <w:tcW w:w="567" w:type="dxa"/>
            <w:vAlign w:val="center"/>
          </w:tcPr>
          <w:p w14:paraId="22F541D2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35EAE277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0EFECC85" w14:textId="77777777" w:rsidR="00FF154C" w:rsidRDefault="00FF154C" w:rsidP="0003129C">
            <w:pPr>
              <w:ind w:firstLine="66"/>
            </w:pPr>
          </w:p>
        </w:tc>
      </w:tr>
      <w:tr w:rsidR="00FF154C" w14:paraId="2CADF056" w14:textId="77777777" w:rsidTr="0003129C">
        <w:trPr>
          <w:trHeight w:val="1437"/>
          <w:jc w:val="center"/>
        </w:trPr>
        <w:tc>
          <w:tcPr>
            <w:tcW w:w="1555" w:type="dxa"/>
            <w:vMerge/>
            <w:vAlign w:val="center"/>
          </w:tcPr>
          <w:p w14:paraId="6567BCFA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14:paraId="57C9A247" w14:textId="77777777" w:rsidR="00FF154C" w:rsidRDefault="00FF154C" w:rsidP="0003129C">
            <w:pPr>
              <w:ind w:firstLine="66"/>
              <w:jc w:val="center"/>
            </w:pPr>
            <w:r>
              <w:t>Código de clasificación</w:t>
            </w:r>
          </w:p>
        </w:tc>
        <w:tc>
          <w:tcPr>
            <w:tcW w:w="850" w:type="dxa"/>
            <w:vAlign w:val="center"/>
          </w:tcPr>
          <w:p w14:paraId="6D63675D" w14:textId="77777777" w:rsidR="00FF154C" w:rsidRDefault="00FF154C" w:rsidP="0003129C">
            <w:pPr>
              <w:ind w:firstLine="66"/>
            </w:pPr>
            <w:r>
              <w:t xml:space="preserve">5.1.4 </w:t>
            </w:r>
          </w:p>
        </w:tc>
        <w:tc>
          <w:tcPr>
            <w:tcW w:w="2835" w:type="dxa"/>
            <w:vAlign w:val="center"/>
          </w:tcPr>
          <w:p w14:paraId="1981585E" w14:textId="77777777" w:rsidR="00FF154C" w:rsidRDefault="00FF154C" w:rsidP="0003129C">
            <w:pPr>
              <w:ind w:firstLine="66"/>
            </w:pPr>
            <w:r>
              <w:t>¿Se definieron los códigos de clasificación que serán usados para la inversión por la Parte que Designa?</w:t>
            </w:r>
          </w:p>
        </w:tc>
        <w:tc>
          <w:tcPr>
            <w:tcW w:w="567" w:type="dxa"/>
            <w:vAlign w:val="center"/>
          </w:tcPr>
          <w:p w14:paraId="1227D21D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1CB44C59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4BE1B372" w14:textId="77777777" w:rsidR="00FF154C" w:rsidRDefault="00FF154C" w:rsidP="0003129C">
            <w:pPr>
              <w:ind w:firstLine="66"/>
            </w:pPr>
          </w:p>
        </w:tc>
      </w:tr>
      <w:tr w:rsidR="00FF154C" w14:paraId="46279146" w14:textId="77777777" w:rsidTr="0003129C">
        <w:trPr>
          <w:trHeight w:val="2259"/>
          <w:jc w:val="center"/>
        </w:trPr>
        <w:tc>
          <w:tcPr>
            <w:tcW w:w="1555" w:type="dxa"/>
            <w:vMerge/>
            <w:vAlign w:val="center"/>
          </w:tcPr>
          <w:p w14:paraId="27E9D781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50FD358C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14:paraId="1CFC12DB" w14:textId="77777777" w:rsidR="00FF154C" w:rsidRDefault="00FF154C" w:rsidP="0003129C">
            <w:pPr>
              <w:ind w:firstLine="66"/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14:paraId="0D6C0A9E" w14:textId="77777777" w:rsidR="00FF154C" w:rsidRDefault="00FF154C" w:rsidP="0003129C">
            <w:pPr>
              <w:ind w:firstLine="66"/>
            </w:pPr>
            <w:r>
              <w:t>¿Los códigos de clasificación han sido revisados, modificados y acordados, por la Parte que Designa y la Parte Designada Principal, para adaptarse a los requisitos de entrega establecidos en el contrato?</w:t>
            </w:r>
          </w:p>
        </w:tc>
        <w:tc>
          <w:tcPr>
            <w:tcW w:w="567" w:type="dxa"/>
            <w:vAlign w:val="center"/>
          </w:tcPr>
          <w:p w14:paraId="04E00593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21429865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12DD12D1" w14:textId="77777777" w:rsidR="00FF154C" w:rsidRDefault="00FF154C" w:rsidP="0003129C">
            <w:pPr>
              <w:ind w:firstLine="66"/>
            </w:pPr>
          </w:p>
        </w:tc>
      </w:tr>
      <w:tr w:rsidR="00FF154C" w14:paraId="3A37331C" w14:textId="77777777" w:rsidTr="0003129C">
        <w:trPr>
          <w:trHeight w:val="1605"/>
          <w:jc w:val="center"/>
        </w:trPr>
        <w:tc>
          <w:tcPr>
            <w:tcW w:w="1555" w:type="dxa"/>
            <w:vMerge/>
            <w:vAlign w:val="center"/>
          </w:tcPr>
          <w:p w14:paraId="76FD10DB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14:paraId="657C8702" w14:textId="77777777" w:rsidR="00FF154C" w:rsidRDefault="00FF154C" w:rsidP="0003129C">
            <w:pPr>
              <w:ind w:firstLine="66"/>
              <w:jc w:val="center"/>
            </w:pPr>
            <w:r>
              <w:t>Nomenclatura del contenedor de información</w:t>
            </w:r>
          </w:p>
        </w:tc>
        <w:tc>
          <w:tcPr>
            <w:tcW w:w="850" w:type="dxa"/>
            <w:vAlign w:val="center"/>
          </w:tcPr>
          <w:p w14:paraId="755455D4" w14:textId="77777777" w:rsidR="00FF154C" w:rsidRDefault="00FF154C" w:rsidP="0003129C">
            <w:pPr>
              <w:ind w:firstLine="66"/>
            </w:pPr>
            <w:r>
              <w:t>5.1.4</w:t>
            </w:r>
          </w:p>
        </w:tc>
        <w:tc>
          <w:tcPr>
            <w:tcW w:w="2835" w:type="dxa"/>
            <w:vAlign w:val="center"/>
          </w:tcPr>
          <w:p w14:paraId="3F6D9AC1" w14:textId="77777777" w:rsidR="00FF154C" w:rsidRDefault="00FF154C" w:rsidP="0003129C">
            <w:pPr>
              <w:ind w:firstLine="66"/>
            </w:pPr>
            <w:r>
              <w:t>¿Se ha definido un estándar de codificación/ nomenclatura para los contenedores de información de la inversión por la Parte que Designa? (ver nota 1).</w:t>
            </w:r>
          </w:p>
        </w:tc>
        <w:tc>
          <w:tcPr>
            <w:tcW w:w="567" w:type="dxa"/>
            <w:vAlign w:val="center"/>
          </w:tcPr>
          <w:p w14:paraId="6AD6B7F3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4A5BDD50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41461F9A" w14:textId="77777777" w:rsidR="00FF154C" w:rsidRDefault="00FF154C" w:rsidP="0003129C">
            <w:pPr>
              <w:ind w:firstLine="66"/>
            </w:pPr>
          </w:p>
        </w:tc>
      </w:tr>
      <w:tr w:rsidR="00FF154C" w14:paraId="3F3889B8" w14:textId="77777777" w:rsidTr="0003129C">
        <w:trPr>
          <w:trHeight w:val="2688"/>
          <w:jc w:val="center"/>
        </w:trPr>
        <w:tc>
          <w:tcPr>
            <w:tcW w:w="1555" w:type="dxa"/>
            <w:vMerge/>
            <w:vAlign w:val="center"/>
          </w:tcPr>
          <w:p w14:paraId="72B07CAE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77AC124C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14:paraId="1F46EDD0" w14:textId="77777777" w:rsidR="00FF154C" w:rsidRDefault="00FF154C" w:rsidP="0003129C">
            <w:pPr>
              <w:ind w:firstLine="66"/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14:paraId="7F1E164E" w14:textId="77777777" w:rsidR="00FF154C" w:rsidRDefault="00FF154C" w:rsidP="0003129C">
            <w:pPr>
              <w:ind w:firstLine="66"/>
            </w:pPr>
            <w:r>
              <w:t>¿La codificación/ nomenclatura de los contenedores de información han sido revisados, modificados y acordados, por la Parte que Designa y la Parte Designada Principal, para adaptarse a los requisitos de entrega establecidos en el contrato?</w:t>
            </w:r>
          </w:p>
        </w:tc>
        <w:tc>
          <w:tcPr>
            <w:tcW w:w="567" w:type="dxa"/>
            <w:vAlign w:val="center"/>
          </w:tcPr>
          <w:p w14:paraId="404AB50F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0D10CAB5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583D3574" w14:textId="77777777" w:rsidR="00FF154C" w:rsidRDefault="00FF154C" w:rsidP="0003129C">
            <w:pPr>
              <w:ind w:firstLine="66"/>
            </w:pPr>
          </w:p>
        </w:tc>
      </w:tr>
      <w:tr w:rsidR="00FF154C" w14:paraId="07AD8F4C" w14:textId="77777777" w:rsidTr="0003129C">
        <w:trPr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770824DE" w14:textId="77777777" w:rsidR="00FF154C" w:rsidRDefault="00FF154C" w:rsidP="0003129C">
            <w:pPr>
              <w:ind w:firstLine="66"/>
            </w:pPr>
            <w:r>
              <w:t>Flujos de trabajo</w:t>
            </w:r>
          </w:p>
        </w:tc>
        <w:tc>
          <w:tcPr>
            <w:tcW w:w="850" w:type="dxa"/>
            <w:vAlign w:val="center"/>
          </w:tcPr>
          <w:p w14:paraId="0E7B4E5D" w14:textId="77777777" w:rsidR="00FF154C" w:rsidRDefault="00FF154C" w:rsidP="0003129C">
            <w:pPr>
              <w:ind w:firstLine="66"/>
            </w:pPr>
            <w:r>
              <w:t>5.5.2</w:t>
            </w:r>
          </w:p>
        </w:tc>
        <w:tc>
          <w:tcPr>
            <w:tcW w:w="2835" w:type="dxa"/>
            <w:vAlign w:val="center"/>
          </w:tcPr>
          <w:p w14:paraId="2B7A070D" w14:textId="77777777" w:rsidR="00FF154C" w:rsidRDefault="00FF154C" w:rsidP="0003129C">
            <w:pPr>
              <w:ind w:firstLine="66"/>
              <w:rPr>
                <w:color w:val="0070C0"/>
              </w:rPr>
            </w:pPr>
            <w:r>
              <w:t xml:space="preserve">¿Se ha implementado y documentado un flujo de trabajo CDE claro sobre cómo se desarrollará &gt; comprobará &gt; compartirá &gt; autorizará &gt; aceptará &gt; publicará &gt; archivarán </w:t>
            </w:r>
            <w:r>
              <w:lastRenderedPageBreak/>
              <w:t>cada tipo de contenedor de información?</w:t>
            </w:r>
          </w:p>
        </w:tc>
        <w:tc>
          <w:tcPr>
            <w:tcW w:w="567" w:type="dxa"/>
            <w:vAlign w:val="center"/>
          </w:tcPr>
          <w:p w14:paraId="036D3938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1038D55D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6F5E1737" w14:textId="77777777" w:rsidR="00FF154C" w:rsidRDefault="00FF154C" w:rsidP="0003129C">
            <w:pPr>
              <w:ind w:firstLine="66"/>
            </w:pPr>
          </w:p>
        </w:tc>
      </w:tr>
      <w:tr w:rsidR="00FF154C" w14:paraId="72F5B56F" w14:textId="77777777" w:rsidTr="0003129C">
        <w:trPr>
          <w:jc w:val="center"/>
        </w:trPr>
        <w:tc>
          <w:tcPr>
            <w:tcW w:w="2689" w:type="dxa"/>
            <w:gridSpan w:val="2"/>
            <w:vMerge/>
            <w:vAlign w:val="center"/>
          </w:tcPr>
          <w:p w14:paraId="285F02E5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14:paraId="5FFECC14" w14:textId="77777777" w:rsidR="00FF154C" w:rsidRDefault="00FF154C" w:rsidP="0003129C">
            <w:pPr>
              <w:ind w:firstLine="66"/>
            </w:pPr>
            <w:r>
              <w:t>5.5.2</w:t>
            </w:r>
          </w:p>
        </w:tc>
        <w:tc>
          <w:tcPr>
            <w:tcW w:w="2835" w:type="dxa"/>
            <w:vAlign w:val="center"/>
          </w:tcPr>
          <w:p w14:paraId="4CE800A5" w14:textId="77777777" w:rsidR="00FF154C" w:rsidRDefault="00FF154C" w:rsidP="0003129C">
            <w:pPr>
              <w:ind w:firstLine="66"/>
            </w:pPr>
            <w:r>
              <w:t>Si se utilizan varias soluciones de CDE para implementar el flujo de trabajo de CDE, algunas de las cuales pueden ser propiedad o estar administradas por diferentes organizaciones, ¿Se ha revisado el flujo de trabajo de CDE para garantizar que los contenedores de información pasen sin problemas a través de cada solución de CDE? (Ver nota 2).</w:t>
            </w:r>
          </w:p>
        </w:tc>
        <w:tc>
          <w:tcPr>
            <w:tcW w:w="567" w:type="dxa"/>
            <w:vAlign w:val="center"/>
          </w:tcPr>
          <w:p w14:paraId="7B6D8A90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3469A13C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535B5C6D" w14:textId="77777777" w:rsidR="00FF154C" w:rsidRDefault="00FF154C" w:rsidP="0003129C">
            <w:pPr>
              <w:ind w:firstLine="66"/>
            </w:pPr>
          </w:p>
        </w:tc>
      </w:tr>
      <w:tr w:rsidR="00FF154C" w14:paraId="41B324D1" w14:textId="77777777" w:rsidTr="0003129C">
        <w:trPr>
          <w:jc w:val="center"/>
        </w:trPr>
        <w:tc>
          <w:tcPr>
            <w:tcW w:w="2689" w:type="dxa"/>
            <w:gridSpan w:val="2"/>
            <w:vMerge/>
            <w:vAlign w:val="center"/>
          </w:tcPr>
          <w:p w14:paraId="573E5C7B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14:paraId="0E6ECFF3" w14:textId="77777777" w:rsidR="00FF154C" w:rsidRDefault="00FF154C" w:rsidP="0003129C">
            <w:pPr>
              <w:ind w:firstLine="66"/>
            </w:pPr>
            <w:r>
              <w:t>5.5.3</w:t>
            </w:r>
          </w:p>
        </w:tc>
        <w:tc>
          <w:tcPr>
            <w:tcW w:w="2835" w:type="dxa"/>
            <w:vAlign w:val="center"/>
          </w:tcPr>
          <w:p w14:paraId="4C2C5B05" w14:textId="77777777" w:rsidR="00FF154C" w:rsidRDefault="00FF154C" w:rsidP="0003129C">
            <w:pPr>
              <w:ind w:firstLine="66"/>
            </w:pPr>
            <w:r>
              <w:t>¿Tiene la inversión un conjunto documentado del procedimiento estándar para asignación de metadatos a los contenedores de información? (Ver nota 3).</w:t>
            </w:r>
          </w:p>
        </w:tc>
        <w:tc>
          <w:tcPr>
            <w:tcW w:w="567" w:type="dxa"/>
            <w:vAlign w:val="center"/>
          </w:tcPr>
          <w:p w14:paraId="5CAC9C11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64EC1C6E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510B8326" w14:textId="77777777" w:rsidR="00FF154C" w:rsidRDefault="00FF154C" w:rsidP="0003129C">
            <w:pPr>
              <w:ind w:firstLine="66"/>
            </w:pPr>
          </w:p>
        </w:tc>
      </w:tr>
      <w:tr w:rsidR="00FF154C" w14:paraId="459986B6" w14:textId="77777777" w:rsidTr="0003129C">
        <w:trPr>
          <w:trHeight w:val="797"/>
          <w:jc w:val="center"/>
        </w:trPr>
        <w:tc>
          <w:tcPr>
            <w:tcW w:w="2689" w:type="dxa"/>
            <w:gridSpan w:val="2"/>
            <w:vAlign w:val="center"/>
          </w:tcPr>
          <w:p w14:paraId="109841DE" w14:textId="77777777" w:rsidR="00FF154C" w:rsidRDefault="00FF154C" w:rsidP="0003129C">
            <w:pPr>
              <w:ind w:firstLine="66"/>
            </w:pPr>
            <w:r>
              <w:t>Software dirigido al propósito</w:t>
            </w:r>
          </w:p>
        </w:tc>
        <w:tc>
          <w:tcPr>
            <w:tcW w:w="850" w:type="dxa"/>
            <w:vMerge w:val="restart"/>
            <w:vAlign w:val="center"/>
          </w:tcPr>
          <w:p w14:paraId="3C239041" w14:textId="77777777" w:rsidR="00FF154C" w:rsidRDefault="00FF154C" w:rsidP="0003129C">
            <w:pPr>
              <w:ind w:firstLine="66"/>
            </w:pPr>
            <w:r>
              <w:t>5.1.5 / 5.5.2</w:t>
            </w:r>
          </w:p>
        </w:tc>
        <w:tc>
          <w:tcPr>
            <w:tcW w:w="2835" w:type="dxa"/>
            <w:vMerge w:val="restart"/>
            <w:vAlign w:val="center"/>
          </w:tcPr>
          <w:p w14:paraId="3B61E6B4" w14:textId="77777777" w:rsidR="00FF154C" w:rsidRDefault="00FF154C" w:rsidP="0003129C">
            <w:pPr>
              <w:ind w:firstLine="66"/>
            </w:pPr>
            <w:r>
              <w:t>¿Se han revisado todas las posibles soluciones de CDE para garantizar que sean compatibles con la asignación de metadatos acordada?</w:t>
            </w:r>
          </w:p>
        </w:tc>
        <w:tc>
          <w:tcPr>
            <w:tcW w:w="567" w:type="dxa"/>
            <w:vMerge w:val="restart"/>
            <w:vAlign w:val="center"/>
          </w:tcPr>
          <w:p w14:paraId="35DC601B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Merge w:val="restart"/>
            <w:vAlign w:val="center"/>
          </w:tcPr>
          <w:p w14:paraId="625FC80B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Merge w:val="restart"/>
            <w:vAlign w:val="center"/>
          </w:tcPr>
          <w:p w14:paraId="0F8A3ED7" w14:textId="77777777" w:rsidR="00FF154C" w:rsidRDefault="00FF154C" w:rsidP="0003129C">
            <w:pPr>
              <w:ind w:firstLine="66"/>
            </w:pPr>
          </w:p>
        </w:tc>
      </w:tr>
      <w:tr w:rsidR="00FF154C" w14:paraId="4057F5F2" w14:textId="77777777" w:rsidTr="0003129C">
        <w:trPr>
          <w:jc w:val="center"/>
        </w:trPr>
        <w:tc>
          <w:tcPr>
            <w:tcW w:w="2689" w:type="dxa"/>
            <w:gridSpan w:val="2"/>
            <w:vAlign w:val="center"/>
          </w:tcPr>
          <w:p w14:paraId="2DD1CE55" w14:textId="77777777" w:rsidR="00FF154C" w:rsidRDefault="00FF154C" w:rsidP="0003129C">
            <w:pPr>
              <w:ind w:firstLine="66"/>
            </w:pPr>
            <w:r>
              <w:t>Software para conexión (APIs)</w:t>
            </w:r>
          </w:p>
        </w:tc>
        <w:tc>
          <w:tcPr>
            <w:tcW w:w="850" w:type="dxa"/>
            <w:vMerge/>
            <w:vAlign w:val="center"/>
          </w:tcPr>
          <w:p w14:paraId="64E56107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4EC834B1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567" w:type="dxa"/>
            <w:vMerge/>
            <w:vAlign w:val="center"/>
          </w:tcPr>
          <w:p w14:paraId="719A3A65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709" w:type="dxa"/>
            <w:vMerge/>
            <w:vAlign w:val="center"/>
          </w:tcPr>
          <w:p w14:paraId="44BF3B90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417" w:type="dxa"/>
            <w:vMerge/>
            <w:vAlign w:val="center"/>
          </w:tcPr>
          <w:p w14:paraId="775CDB5A" w14:textId="77777777"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FF154C" w14:paraId="230DB71D" w14:textId="77777777" w:rsidTr="0003129C">
        <w:trPr>
          <w:jc w:val="center"/>
        </w:trPr>
        <w:tc>
          <w:tcPr>
            <w:tcW w:w="2689" w:type="dxa"/>
            <w:gridSpan w:val="2"/>
            <w:vAlign w:val="center"/>
          </w:tcPr>
          <w:p w14:paraId="09830E46" w14:textId="77777777" w:rsidR="00FF154C" w:rsidRDefault="00FF154C" w:rsidP="0003129C">
            <w:pPr>
              <w:ind w:firstLine="66"/>
            </w:pPr>
            <w:r>
              <w:t>Equipo de apoyo</w:t>
            </w:r>
          </w:p>
        </w:tc>
        <w:tc>
          <w:tcPr>
            <w:tcW w:w="850" w:type="dxa"/>
            <w:vAlign w:val="center"/>
          </w:tcPr>
          <w:p w14:paraId="03C7403E" w14:textId="77777777" w:rsidR="00FF154C" w:rsidRDefault="00FF154C" w:rsidP="0003129C">
            <w:pPr>
              <w:ind w:firstLine="66"/>
            </w:pPr>
            <w:r>
              <w:t>-</w:t>
            </w:r>
          </w:p>
        </w:tc>
        <w:tc>
          <w:tcPr>
            <w:tcW w:w="2835" w:type="dxa"/>
            <w:vAlign w:val="center"/>
          </w:tcPr>
          <w:p w14:paraId="0DF82F77" w14:textId="77777777" w:rsidR="00FF154C" w:rsidRDefault="00FF154C" w:rsidP="0003129C">
            <w:pPr>
              <w:ind w:firstLine="66"/>
            </w:pPr>
            <w:r>
              <w:t>¿Se definió el gestor de la información y el coordinador BIM de la inversión?</w:t>
            </w:r>
          </w:p>
        </w:tc>
        <w:tc>
          <w:tcPr>
            <w:tcW w:w="567" w:type="dxa"/>
            <w:vAlign w:val="center"/>
          </w:tcPr>
          <w:p w14:paraId="0541B0C4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4426FC16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26A1AA44" w14:textId="77777777" w:rsidR="00FF154C" w:rsidRDefault="00FF154C" w:rsidP="0003129C">
            <w:pPr>
              <w:ind w:firstLine="66"/>
            </w:pPr>
          </w:p>
        </w:tc>
      </w:tr>
      <w:tr w:rsidR="00FF154C" w14:paraId="292DA9CD" w14:textId="77777777" w:rsidTr="0003129C">
        <w:trPr>
          <w:jc w:val="center"/>
        </w:trPr>
        <w:tc>
          <w:tcPr>
            <w:tcW w:w="2689" w:type="dxa"/>
            <w:gridSpan w:val="2"/>
            <w:vAlign w:val="center"/>
          </w:tcPr>
          <w:p w14:paraId="6036A727" w14:textId="77777777" w:rsidR="00FF154C" w:rsidRDefault="00FF154C" w:rsidP="0003129C">
            <w:pPr>
              <w:ind w:firstLine="66"/>
            </w:pPr>
            <w:r>
              <w:lastRenderedPageBreak/>
              <w:t>Derechos de acceso y seguridad externa</w:t>
            </w:r>
          </w:p>
        </w:tc>
        <w:tc>
          <w:tcPr>
            <w:tcW w:w="850" w:type="dxa"/>
            <w:vAlign w:val="center"/>
          </w:tcPr>
          <w:p w14:paraId="2BB77848" w14:textId="77777777" w:rsidR="00FF154C" w:rsidRDefault="00FF154C" w:rsidP="0003129C">
            <w:pPr>
              <w:ind w:firstLine="66"/>
            </w:pPr>
            <w:r>
              <w:t>5.1.5 / 5.3.2 / 5.5.2</w:t>
            </w:r>
          </w:p>
        </w:tc>
        <w:tc>
          <w:tcPr>
            <w:tcW w:w="2835" w:type="dxa"/>
            <w:vAlign w:val="center"/>
          </w:tcPr>
          <w:p w14:paraId="388E3853" w14:textId="77777777" w:rsidR="00FF154C" w:rsidRDefault="00FF154C" w:rsidP="0003129C">
            <w:pPr>
              <w:ind w:firstLine="66"/>
            </w:pPr>
            <w:r>
              <w:t>¿Se ha tenido en cuenta las consideraciones de seguridad al seleccionar las posibles soluciones de CDE para garantizar que los permisos y derechos de acceso se puedan establecer a nivel individual y organizacional?</w:t>
            </w:r>
          </w:p>
        </w:tc>
        <w:tc>
          <w:tcPr>
            <w:tcW w:w="567" w:type="dxa"/>
            <w:vAlign w:val="center"/>
          </w:tcPr>
          <w:p w14:paraId="43139DA5" w14:textId="77777777"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14:paraId="6293A672" w14:textId="77777777"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14:paraId="556545A5" w14:textId="77777777" w:rsidR="00FF154C" w:rsidRDefault="00FF154C" w:rsidP="0003129C">
            <w:pPr>
              <w:ind w:firstLine="66"/>
            </w:pPr>
          </w:p>
        </w:tc>
      </w:tr>
    </w:tbl>
    <w:p w14:paraId="57D7F5AA" w14:textId="77777777" w:rsidR="00FF154C" w:rsidRDefault="00FF154C" w:rsidP="00FF154C">
      <w:pPr>
        <w:jc w:val="center"/>
        <w:rPr>
          <w:sz w:val="20"/>
          <w:szCs w:val="20"/>
        </w:rPr>
      </w:pPr>
      <w:r>
        <w:rPr>
          <w:color w:val="000000"/>
        </w:rPr>
        <w:t>(</w:t>
      </w:r>
      <w:r>
        <w:rPr>
          <w:sz w:val="20"/>
          <w:szCs w:val="20"/>
        </w:rPr>
        <w:t>Fuente: UK BIM FRAMEWORK)</w:t>
      </w:r>
    </w:p>
    <w:p w14:paraId="12F84C95" w14:textId="77777777" w:rsidR="00FF154C" w:rsidRDefault="00FF154C" w:rsidP="00FF154C"/>
    <w:p w14:paraId="5A9EB117" w14:textId="77777777" w:rsidR="00FF154C" w:rsidRDefault="00FF154C" w:rsidP="00FF154C"/>
    <w:p w14:paraId="14FCABB4" w14:textId="77777777" w:rsidR="00197675" w:rsidRDefault="00197675"/>
    <w:sectPr w:rsidR="00197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8A10" w14:textId="77777777" w:rsidR="008531B8" w:rsidRDefault="008531B8" w:rsidP="00B63D6D">
      <w:pPr>
        <w:spacing w:before="0" w:after="0" w:line="240" w:lineRule="auto"/>
      </w:pPr>
      <w:r>
        <w:separator/>
      </w:r>
    </w:p>
  </w:endnote>
  <w:endnote w:type="continuationSeparator" w:id="0">
    <w:p w14:paraId="4F655396" w14:textId="77777777" w:rsidR="008531B8" w:rsidRDefault="008531B8" w:rsidP="00B63D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AD87" w14:textId="77777777" w:rsidR="008531B8" w:rsidRDefault="008531B8" w:rsidP="00B63D6D">
      <w:pPr>
        <w:spacing w:before="0" w:after="0" w:line="240" w:lineRule="auto"/>
      </w:pPr>
      <w:r>
        <w:separator/>
      </w:r>
    </w:p>
  </w:footnote>
  <w:footnote w:type="continuationSeparator" w:id="0">
    <w:p w14:paraId="26C7CBD3" w14:textId="77777777" w:rsidR="008531B8" w:rsidRDefault="008531B8" w:rsidP="00B63D6D">
      <w:pPr>
        <w:spacing w:before="0" w:after="0" w:line="240" w:lineRule="auto"/>
      </w:pPr>
      <w:r>
        <w:continuationSeparator/>
      </w:r>
    </w:p>
  </w:footnote>
  <w:footnote w:id="1">
    <w:p w14:paraId="5A198F2D" w14:textId="77777777" w:rsidR="00B63D6D" w:rsidRPr="00B63D6D" w:rsidRDefault="00B63D6D" w:rsidP="00B63D6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Anteriormente, anexo 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4C"/>
    <w:rsid w:val="00197675"/>
    <w:rsid w:val="004A72F3"/>
    <w:rsid w:val="008531B8"/>
    <w:rsid w:val="00B63D6D"/>
    <w:rsid w:val="00C64BED"/>
    <w:rsid w:val="00D62769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ABA9"/>
  <w15:chartTrackingRefBased/>
  <w15:docId w15:val="{52743256-7FC2-41A4-B2ED-CA471A0A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tenido 1"/>
    <w:qFormat/>
    <w:rsid w:val="00FF154C"/>
    <w:pPr>
      <w:spacing w:before="240" w:after="240" w:line="288" w:lineRule="auto"/>
      <w:jc w:val="both"/>
    </w:pPr>
    <w:rPr>
      <w:rFonts w:ascii="Arial" w:eastAsia="Arial" w:hAnsi="Arial" w:cs="Arial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63D6D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3D6D"/>
    <w:rPr>
      <w:rFonts w:ascii="Arial" w:eastAsia="Arial" w:hAnsi="Arial" w:cs="Arial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B63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A485-6217-438C-8768-7EEBA2C2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e201910541 (Garcia Danos, Jherson Ruben)</cp:lastModifiedBy>
  <cp:revision>2</cp:revision>
  <dcterms:created xsi:type="dcterms:W3CDTF">2021-05-22T01:47:00Z</dcterms:created>
  <dcterms:modified xsi:type="dcterms:W3CDTF">2023-12-18T16:37:00Z</dcterms:modified>
</cp:coreProperties>
</file>