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82" w:rsidRPr="00EC7327" w:rsidRDefault="00AB2A43" w:rsidP="00511FED">
      <w:pPr>
        <w:ind w:right="-141"/>
        <w:jc w:val="center"/>
        <w:rPr>
          <w:rFonts w:cs="Arial"/>
          <w:b/>
          <w:bCs/>
          <w:sz w:val="22"/>
          <w:szCs w:val="22"/>
        </w:rPr>
      </w:pPr>
      <w:r w:rsidRPr="00EC7327">
        <w:rPr>
          <w:rFonts w:cs="Arial"/>
          <w:b/>
          <w:bCs/>
          <w:sz w:val="22"/>
          <w:szCs w:val="22"/>
        </w:rPr>
        <w:t xml:space="preserve">INSTRUCTIVO </w:t>
      </w:r>
      <w:r w:rsidR="00684782" w:rsidRPr="00EC7327">
        <w:rPr>
          <w:rFonts w:cs="Arial"/>
          <w:b/>
          <w:bCs/>
          <w:sz w:val="22"/>
          <w:szCs w:val="22"/>
        </w:rPr>
        <w:t>FICHA N° 02</w:t>
      </w:r>
    </w:p>
    <w:p w:rsidR="00684782" w:rsidRPr="00EC7327" w:rsidRDefault="00AB2A43" w:rsidP="00511FED">
      <w:pPr>
        <w:ind w:right="-141"/>
        <w:jc w:val="center"/>
        <w:rPr>
          <w:rFonts w:cs="Arial"/>
          <w:b/>
          <w:bCs/>
          <w:sz w:val="20"/>
          <w:szCs w:val="20"/>
        </w:rPr>
      </w:pPr>
      <w:r w:rsidRPr="00EC7327">
        <w:rPr>
          <w:rFonts w:cs="Arial"/>
          <w:b/>
          <w:bCs/>
          <w:sz w:val="20"/>
          <w:szCs w:val="20"/>
        </w:rPr>
        <w:t xml:space="preserve">PARA EL REGISTRO DE INFORMACIÓN EN LA </w:t>
      </w:r>
      <w:r w:rsidR="00503408" w:rsidRPr="00EC7327">
        <w:rPr>
          <w:rFonts w:cs="Arial"/>
          <w:b/>
          <w:bCs/>
          <w:sz w:val="20"/>
          <w:szCs w:val="20"/>
        </w:rPr>
        <w:t xml:space="preserve">FICHA TÉCNICA DEL PIP DE EMERGENCIA POR </w:t>
      </w:r>
    </w:p>
    <w:p w:rsidR="00503408" w:rsidRPr="00EC7327" w:rsidRDefault="00C86B54" w:rsidP="00511FED">
      <w:pPr>
        <w:ind w:right="-141"/>
        <w:jc w:val="center"/>
        <w:rPr>
          <w:rFonts w:cs="Arial"/>
          <w:b/>
          <w:bCs/>
          <w:sz w:val="20"/>
          <w:szCs w:val="20"/>
        </w:rPr>
      </w:pPr>
      <w:r w:rsidRPr="00EC7327">
        <w:rPr>
          <w:rFonts w:cs="Arial"/>
          <w:b/>
          <w:bCs/>
          <w:sz w:val="20"/>
          <w:szCs w:val="20"/>
        </w:rPr>
        <w:t>PELIGRO INMINENTE</w:t>
      </w:r>
      <w:r w:rsidR="00D0392C" w:rsidRPr="00EC7327">
        <w:rPr>
          <w:rFonts w:cs="Arial"/>
          <w:b/>
          <w:bCs/>
          <w:sz w:val="20"/>
          <w:szCs w:val="20"/>
        </w:rPr>
        <w:t xml:space="preserve"> </w:t>
      </w:r>
    </w:p>
    <w:p w:rsidR="001F763D" w:rsidRPr="00EC7327" w:rsidRDefault="001F763D" w:rsidP="00511FED">
      <w:pPr>
        <w:ind w:right="-141"/>
        <w:rPr>
          <w:rFonts w:cs="Arial"/>
          <w:b/>
          <w:bCs/>
          <w:sz w:val="20"/>
          <w:szCs w:val="20"/>
        </w:rPr>
      </w:pPr>
    </w:p>
    <w:p w:rsidR="00146752" w:rsidRPr="00EC7327" w:rsidRDefault="00146752" w:rsidP="00511FED">
      <w:pPr>
        <w:ind w:right="-141"/>
        <w:rPr>
          <w:rFonts w:cs="Arial"/>
          <w:b/>
          <w:bCs/>
          <w:sz w:val="20"/>
          <w:szCs w:val="20"/>
        </w:rPr>
      </w:pPr>
      <w:r w:rsidRPr="00EC7327">
        <w:rPr>
          <w:rFonts w:cs="Arial"/>
          <w:b/>
          <w:bCs/>
          <w:sz w:val="20"/>
          <w:szCs w:val="20"/>
        </w:rPr>
        <w:t>INTRODUCCIÓN.</w:t>
      </w:r>
    </w:p>
    <w:p w:rsidR="00146752" w:rsidRPr="00EC7327" w:rsidRDefault="00146752" w:rsidP="00511FED">
      <w:pPr>
        <w:ind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El presente instructivo corresponde al </w:t>
      </w:r>
      <w:r w:rsidR="00755F28" w:rsidRPr="00EC7327">
        <w:rPr>
          <w:rFonts w:cs="Arial"/>
          <w:sz w:val="20"/>
          <w:szCs w:val="20"/>
        </w:rPr>
        <w:t xml:space="preserve">procedimiento para el </w:t>
      </w:r>
      <w:r w:rsidRPr="00EC7327">
        <w:rPr>
          <w:rFonts w:cs="Arial"/>
          <w:sz w:val="20"/>
          <w:szCs w:val="20"/>
        </w:rPr>
        <w:t xml:space="preserve">registro de la información </w:t>
      </w:r>
      <w:r w:rsidR="005439AC" w:rsidRPr="00EC7327">
        <w:rPr>
          <w:rFonts w:cs="Arial"/>
          <w:sz w:val="20"/>
          <w:szCs w:val="20"/>
        </w:rPr>
        <w:t xml:space="preserve">establecida </w:t>
      </w:r>
      <w:r w:rsidRPr="00EC7327">
        <w:rPr>
          <w:rFonts w:cs="Arial"/>
          <w:sz w:val="20"/>
          <w:szCs w:val="20"/>
        </w:rPr>
        <w:t xml:space="preserve">en la Ficha Técnica del Proyecto de </w:t>
      </w:r>
      <w:r w:rsidR="00522F13" w:rsidRPr="00EC7327">
        <w:rPr>
          <w:rFonts w:cs="Arial"/>
          <w:sz w:val="20"/>
          <w:szCs w:val="20"/>
        </w:rPr>
        <w:t>I</w:t>
      </w:r>
      <w:r w:rsidRPr="00EC7327">
        <w:rPr>
          <w:rFonts w:cs="Arial"/>
          <w:sz w:val="20"/>
          <w:szCs w:val="20"/>
        </w:rPr>
        <w:t>nversión Pública de Emergencia</w:t>
      </w:r>
      <w:r w:rsidR="00030BED" w:rsidRPr="00EC7327">
        <w:rPr>
          <w:rFonts w:cs="Arial"/>
          <w:sz w:val="20"/>
          <w:szCs w:val="20"/>
        </w:rPr>
        <w:t xml:space="preserve"> por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 xml:space="preserve">, de acuerdo a lo </w:t>
      </w:r>
      <w:r w:rsidR="005439AC" w:rsidRPr="00EC7327">
        <w:rPr>
          <w:rFonts w:cs="Arial"/>
          <w:sz w:val="20"/>
          <w:szCs w:val="20"/>
        </w:rPr>
        <w:t xml:space="preserve">normado </w:t>
      </w:r>
      <w:r w:rsidRPr="00EC7327">
        <w:rPr>
          <w:rFonts w:cs="Arial"/>
          <w:sz w:val="20"/>
          <w:szCs w:val="20"/>
        </w:rPr>
        <w:t xml:space="preserve">en la Directiva </w:t>
      </w:r>
      <w:r w:rsidR="00137774" w:rsidRPr="00EC7327">
        <w:rPr>
          <w:rFonts w:cs="Arial"/>
          <w:sz w:val="20"/>
          <w:szCs w:val="20"/>
        </w:rPr>
        <w:t>N°</w:t>
      </w:r>
      <w:r w:rsidR="00952EDF" w:rsidRPr="00EC7327">
        <w:rPr>
          <w:rFonts w:cs="Arial"/>
          <w:sz w:val="20"/>
          <w:szCs w:val="20"/>
        </w:rPr>
        <w:t xml:space="preserve"> </w:t>
      </w:r>
      <w:r w:rsidR="00F26835" w:rsidRPr="00EC7327">
        <w:rPr>
          <w:rFonts w:cs="Arial"/>
          <w:sz w:val="20"/>
          <w:szCs w:val="20"/>
        </w:rPr>
        <w:t>00</w:t>
      </w:r>
      <w:r w:rsidR="005125D0">
        <w:rPr>
          <w:rFonts w:cs="Arial"/>
          <w:sz w:val="20"/>
          <w:szCs w:val="20"/>
        </w:rPr>
        <w:t>2</w:t>
      </w:r>
      <w:r w:rsidR="00F26835" w:rsidRPr="00EC7327">
        <w:rPr>
          <w:rFonts w:cs="Arial"/>
          <w:sz w:val="20"/>
          <w:szCs w:val="20"/>
        </w:rPr>
        <w:t>-201</w:t>
      </w:r>
      <w:r w:rsidR="00552114" w:rsidRPr="00EC7327">
        <w:rPr>
          <w:rFonts w:cs="Arial"/>
          <w:sz w:val="20"/>
          <w:szCs w:val="20"/>
        </w:rPr>
        <w:t>5</w:t>
      </w:r>
      <w:r w:rsidR="00137774" w:rsidRPr="00EC7327">
        <w:rPr>
          <w:rFonts w:cs="Arial"/>
          <w:sz w:val="20"/>
          <w:szCs w:val="20"/>
        </w:rPr>
        <w:t>-EF/63.01</w:t>
      </w:r>
      <w:r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AB2A43" w:rsidP="00511FED">
      <w:pPr>
        <w:ind w:right="-141"/>
        <w:rPr>
          <w:rFonts w:cs="Arial"/>
          <w:b/>
          <w:bCs/>
          <w:sz w:val="20"/>
          <w:szCs w:val="20"/>
        </w:rPr>
      </w:pPr>
      <w:r w:rsidRPr="00EC7327">
        <w:rPr>
          <w:rFonts w:cs="Arial"/>
          <w:b/>
          <w:bCs/>
          <w:sz w:val="20"/>
          <w:szCs w:val="20"/>
        </w:rPr>
        <w:t>CÓDIGO DEL P</w:t>
      </w:r>
      <w:r w:rsidR="002D00D5" w:rsidRPr="00EC7327">
        <w:rPr>
          <w:rFonts w:cs="Arial"/>
          <w:b/>
          <w:bCs/>
          <w:sz w:val="20"/>
          <w:szCs w:val="20"/>
        </w:rPr>
        <w:t xml:space="preserve">ROYECTO DE INVERSIÓN PÚBLICA </w:t>
      </w:r>
      <w:r w:rsidR="00503408" w:rsidRPr="00EC7327">
        <w:rPr>
          <w:rFonts w:cs="Arial"/>
          <w:b/>
          <w:bCs/>
          <w:sz w:val="20"/>
          <w:szCs w:val="20"/>
        </w:rPr>
        <w:t>(</w:t>
      </w:r>
      <w:r w:rsidR="002D00D5" w:rsidRPr="00EC7327">
        <w:rPr>
          <w:rFonts w:cs="Arial"/>
          <w:b/>
          <w:bCs/>
          <w:sz w:val="20"/>
          <w:szCs w:val="20"/>
        </w:rPr>
        <w:t>PIP</w:t>
      </w:r>
      <w:r w:rsidR="00503408" w:rsidRPr="00EC7327">
        <w:rPr>
          <w:rFonts w:cs="Arial"/>
          <w:b/>
          <w:bCs/>
          <w:sz w:val="20"/>
          <w:szCs w:val="20"/>
        </w:rPr>
        <w:t>)</w:t>
      </w:r>
      <w:r w:rsidR="002D00D5" w:rsidRPr="00EC7327">
        <w:rPr>
          <w:rFonts w:cs="Arial"/>
          <w:b/>
          <w:bCs/>
          <w:sz w:val="20"/>
          <w:szCs w:val="20"/>
        </w:rPr>
        <w:t xml:space="preserve"> DE </w:t>
      </w:r>
      <w:r w:rsidR="00503408" w:rsidRPr="00EC7327">
        <w:rPr>
          <w:rFonts w:cs="Arial"/>
          <w:b/>
          <w:bCs/>
          <w:sz w:val="20"/>
          <w:szCs w:val="20"/>
        </w:rPr>
        <w:t>EMERGENCIA: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5439AC" w:rsidP="00511FED">
      <w:pPr>
        <w:ind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Este </w:t>
      </w:r>
      <w:r w:rsidR="00005BD2" w:rsidRPr="00EC7327">
        <w:rPr>
          <w:rFonts w:cs="Arial"/>
          <w:sz w:val="20"/>
          <w:szCs w:val="20"/>
        </w:rPr>
        <w:t>ítem</w:t>
      </w:r>
      <w:r w:rsidRPr="00EC7327">
        <w:rPr>
          <w:rFonts w:cs="Arial"/>
          <w:sz w:val="20"/>
          <w:szCs w:val="20"/>
        </w:rPr>
        <w:t xml:space="preserve"> no debe ser llenado</w:t>
      </w:r>
      <w:r w:rsidR="00755F28" w:rsidRPr="00EC7327">
        <w:rPr>
          <w:rFonts w:cs="Arial"/>
          <w:sz w:val="20"/>
          <w:szCs w:val="20"/>
        </w:rPr>
        <w:t xml:space="preserve"> por las </w:t>
      </w:r>
      <w:r w:rsidR="00C86B54" w:rsidRPr="00EC7327">
        <w:rPr>
          <w:rFonts w:cs="Arial"/>
          <w:sz w:val="20"/>
          <w:szCs w:val="20"/>
        </w:rPr>
        <w:t xml:space="preserve">Entidades </w:t>
      </w:r>
      <w:r w:rsidR="00411799" w:rsidRPr="00EC7327">
        <w:rPr>
          <w:rFonts w:cs="Arial"/>
          <w:sz w:val="20"/>
          <w:szCs w:val="20"/>
        </w:rPr>
        <w:t>que presenta</w:t>
      </w:r>
      <w:r w:rsidR="001A1AA2" w:rsidRPr="00EC7327">
        <w:rPr>
          <w:rFonts w:cs="Arial"/>
          <w:sz w:val="20"/>
          <w:szCs w:val="20"/>
        </w:rPr>
        <w:t>n</w:t>
      </w:r>
      <w:r w:rsidR="00411799" w:rsidRPr="00EC7327">
        <w:rPr>
          <w:rFonts w:cs="Arial"/>
          <w:sz w:val="20"/>
          <w:szCs w:val="20"/>
        </w:rPr>
        <w:t xml:space="preserve"> la Ficha Técnica del Proyecto de Inversión Pública </w:t>
      </w:r>
      <w:r w:rsidR="000B4A86" w:rsidRPr="00EC7327">
        <w:rPr>
          <w:rFonts w:cs="Arial"/>
          <w:sz w:val="20"/>
          <w:szCs w:val="20"/>
        </w:rPr>
        <w:t xml:space="preserve">(PIP) </w:t>
      </w:r>
      <w:r w:rsidR="00411799" w:rsidRPr="00EC7327">
        <w:rPr>
          <w:rFonts w:cs="Arial"/>
          <w:sz w:val="20"/>
          <w:szCs w:val="20"/>
        </w:rPr>
        <w:t xml:space="preserve">de </w:t>
      </w:r>
      <w:r w:rsidR="006849A7" w:rsidRPr="00EC7327">
        <w:rPr>
          <w:rFonts w:cs="Arial"/>
          <w:sz w:val="20"/>
          <w:szCs w:val="20"/>
        </w:rPr>
        <w:t>E</w:t>
      </w:r>
      <w:r w:rsidR="00411799" w:rsidRPr="00EC7327">
        <w:rPr>
          <w:rFonts w:cs="Arial"/>
          <w:sz w:val="20"/>
          <w:szCs w:val="20"/>
        </w:rPr>
        <w:t>mergencia</w:t>
      </w:r>
      <w:r w:rsidR="00030BED" w:rsidRPr="00EC7327">
        <w:rPr>
          <w:rFonts w:cs="Arial"/>
          <w:sz w:val="20"/>
          <w:szCs w:val="20"/>
        </w:rPr>
        <w:t xml:space="preserve"> por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 xml:space="preserve">. </w:t>
      </w:r>
      <w:r w:rsidR="00AB2A43" w:rsidRPr="00EC7327">
        <w:rPr>
          <w:rFonts w:cs="Arial"/>
          <w:sz w:val="20"/>
          <w:szCs w:val="20"/>
        </w:rPr>
        <w:t>E</w:t>
      </w:r>
      <w:r w:rsidR="00BF2A03" w:rsidRPr="00EC7327">
        <w:rPr>
          <w:rFonts w:cs="Arial"/>
          <w:sz w:val="20"/>
          <w:szCs w:val="20"/>
        </w:rPr>
        <w:t>l</w:t>
      </w:r>
      <w:r w:rsidR="00AB2A43" w:rsidRPr="00EC7327">
        <w:rPr>
          <w:rFonts w:cs="Arial"/>
          <w:sz w:val="20"/>
          <w:szCs w:val="20"/>
        </w:rPr>
        <w:t xml:space="preserve"> </w:t>
      </w:r>
      <w:r w:rsidR="002D00D5" w:rsidRPr="00EC7327">
        <w:rPr>
          <w:rFonts w:cs="Arial"/>
          <w:sz w:val="20"/>
          <w:szCs w:val="20"/>
        </w:rPr>
        <w:t>c</w:t>
      </w:r>
      <w:r w:rsidR="00AB2A43" w:rsidRPr="00EC7327">
        <w:rPr>
          <w:rFonts w:cs="Arial"/>
          <w:sz w:val="20"/>
          <w:szCs w:val="20"/>
        </w:rPr>
        <w:t xml:space="preserve">ódigo </w:t>
      </w:r>
      <w:r w:rsidR="00413FBF" w:rsidRPr="00EC7327">
        <w:rPr>
          <w:rFonts w:cs="Arial"/>
          <w:sz w:val="20"/>
          <w:szCs w:val="20"/>
        </w:rPr>
        <w:t>ú</w:t>
      </w:r>
      <w:r w:rsidR="00566F1D" w:rsidRPr="00EC7327">
        <w:rPr>
          <w:rFonts w:cs="Arial"/>
          <w:sz w:val="20"/>
          <w:szCs w:val="20"/>
        </w:rPr>
        <w:t xml:space="preserve">nico </w:t>
      </w:r>
      <w:r w:rsidR="00BF2A03" w:rsidRPr="00EC7327">
        <w:rPr>
          <w:rFonts w:cs="Arial"/>
          <w:sz w:val="20"/>
          <w:szCs w:val="20"/>
        </w:rPr>
        <w:t>del P</w:t>
      </w:r>
      <w:r w:rsidR="000B4A86" w:rsidRPr="00EC7327">
        <w:rPr>
          <w:rFonts w:cs="Arial"/>
          <w:sz w:val="20"/>
          <w:szCs w:val="20"/>
        </w:rPr>
        <w:t>IP</w:t>
      </w:r>
      <w:r w:rsidR="00BF2A03" w:rsidRPr="00EC7327">
        <w:rPr>
          <w:rFonts w:cs="Arial"/>
          <w:sz w:val="20"/>
          <w:szCs w:val="20"/>
        </w:rPr>
        <w:t xml:space="preserve"> de Emergencia</w:t>
      </w:r>
      <w:r w:rsidR="000B4A86" w:rsidRPr="00EC7327">
        <w:rPr>
          <w:rFonts w:cs="Arial"/>
          <w:sz w:val="20"/>
          <w:szCs w:val="20"/>
        </w:rPr>
        <w:t xml:space="preserve"> po</w:t>
      </w:r>
      <w:r w:rsidR="00886DDF" w:rsidRPr="00EC7327">
        <w:rPr>
          <w:rFonts w:cs="Arial"/>
          <w:sz w:val="20"/>
          <w:szCs w:val="20"/>
        </w:rPr>
        <w:t>r</w:t>
      </w:r>
      <w:r w:rsidR="000B4A86" w:rsidRPr="00EC7327">
        <w:rPr>
          <w:rFonts w:cs="Arial"/>
          <w:sz w:val="20"/>
          <w:szCs w:val="20"/>
        </w:rPr>
        <w:t xml:space="preserve"> </w:t>
      </w:r>
      <w:r w:rsidR="00C86B54" w:rsidRPr="00EC7327">
        <w:rPr>
          <w:rFonts w:cs="Arial"/>
          <w:sz w:val="20"/>
          <w:szCs w:val="20"/>
        </w:rPr>
        <w:t>Peligro Inminente</w:t>
      </w:r>
      <w:r w:rsidR="002D00D5" w:rsidRPr="00EC7327">
        <w:rPr>
          <w:rFonts w:cs="Arial"/>
          <w:sz w:val="20"/>
          <w:szCs w:val="20"/>
        </w:rPr>
        <w:t>,</w:t>
      </w:r>
      <w:r w:rsidR="00BF2A03" w:rsidRPr="00EC7327">
        <w:rPr>
          <w:rFonts w:cs="Arial"/>
          <w:sz w:val="20"/>
          <w:szCs w:val="20"/>
        </w:rPr>
        <w:t xml:space="preserve"> es </w:t>
      </w:r>
      <w:r w:rsidR="000908FA" w:rsidRPr="00EC7327">
        <w:rPr>
          <w:rFonts w:cs="Arial"/>
          <w:sz w:val="20"/>
          <w:szCs w:val="20"/>
        </w:rPr>
        <w:t>asignado</w:t>
      </w:r>
      <w:r w:rsidR="00BF2A03" w:rsidRPr="00EC7327">
        <w:rPr>
          <w:rFonts w:cs="Arial"/>
          <w:sz w:val="20"/>
          <w:szCs w:val="20"/>
        </w:rPr>
        <w:t xml:space="preserve"> </w:t>
      </w:r>
      <w:r w:rsidR="00AB2A43" w:rsidRPr="00EC7327">
        <w:rPr>
          <w:rFonts w:cs="Arial"/>
          <w:sz w:val="20"/>
          <w:szCs w:val="20"/>
        </w:rPr>
        <w:t xml:space="preserve">por la Dirección General de </w:t>
      </w:r>
      <w:r w:rsidR="00F26835" w:rsidRPr="00EC7327">
        <w:rPr>
          <w:rFonts w:cs="Arial"/>
          <w:sz w:val="20"/>
          <w:szCs w:val="20"/>
        </w:rPr>
        <w:t>Inversión Pública</w:t>
      </w:r>
      <w:r w:rsidR="00AB2A43" w:rsidRPr="00EC7327">
        <w:rPr>
          <w:rFonts w:cs="Arial"/>
          <w:sz w:val="20"/>
          <w:szCs w:val="20"/>
        </w:rPr>
        <w:t xml:space="preserve"> </w:t>
      </w:r>
      <w:r w:rsidR="00030BED" w:rsidRPr="00EC7327">
        <w:rPr>
          <w:rFonts w:cs="Arial"/>
          <w:sz w:val="20"/>
          <w:szCs w:val="20"/>
        </w:rPr>
        <w:t>(</w:t>
      </w:r>
      <w:r w:rsidR="00F26835" w:rsidRPr="00EC7327">
        <w:rPr>
          <w:rFonts w:cs="Arial"/>
          <w:sz w:val="20"/>
          <w:szCs w:val="20"/>
        </w:rPr>
        <w:t>DGIP</w:t>
      </w:r>
      <w:r w:rsidR="00030BED" w:rsidRPr="00EC7327">
        <w:rPr>
          <w:rFonts w:cs="Arial"/>
          <w:sz w:val="20"/>
          <w:szCs w:val="20"/>
        </w:rPr>
        <w:t>)</w:t>
      </w:r>
      <w:r w:rsidR="000908FA" w:rsidRPr="00EC7327">
        <w:rPr>
          <w:rFonts w:cs="Arial"/>
          <w:sz w:val="20"/>
          <w:szCs w:val="20"/>
        </w:rPr>
        <w:t xml:space="preserve"> del Ministerio de Economía y Finanzas</w:t>
      </w:r>
      <w:r w:rsidR="00AB2A43" w:rsidRPr="00EC7327">
        <w:rPr>
          <w:rFonts w:cs="Arial"/>
          <w:sz w:val="20"/>
          <w:szCs w:val="20"/>
        </w:rPr>
        <w:t>,</w:t>
      </w:r>
      <w:r w:rsidR="00BF2A03" w:rsidRPr="00EC7327">
        <w:rPr>
          <w:rFonts w:cs="Arial"/>
          <w:sz w:val="20"/>
          <w:szCs w:val="20"/>
        </w:rPr>
        <w:t xml:space="preserve"> después de haber sido declarado Elegible </w:t>
      </w:r>
      <w:r w:rsidR="002D00D5" w:rsidRPr="00EC7327">
        <w:rPr>
          <w:rFonts w:cs="Arial"/>
          <w:sz w:val="20"/>
          <w:szCs w:val="20"/>
        </w:rPr>
        <w:t xml:space="preserve">la </w:t>
      </w:r>
      <w:r w:rsidR="00BF2A03" w:rsidRPr="00EC7327">
        <w:rPr>
          <w:rFonts w:cs="Arial"/>
          <w:sz w:val="20"/>
          <w:szCs w:val="20"/>
        </w:rPr>
        <w:t>Ficha Técnica del P</w:t>
      </w:r>
      <w:r w:rsidR="002D00D5" w:rsidRPr="00EC7327">
        <w:rPr>
          <w:rFonts w:cs="Arial"/>
          <w:sz w:val="20"/>
          <w:szCs w:val="20"/>
        </w:rPr>
        <w:t xml:space="preserve">IP de Emergencia </w:t>
      </w:r>
      <w:r w:rsidR="000B4A86" w:rsidRPr="00EC7327">
        <w:rPr>
          <w:rFonts w:cs="Arial"/>
          <w:sz w:val="20"/>
          <w:szCs w:val="20"/>
        </w:rPr>
        <w:t xml:space="preserve">por </w:t>
      </w:r>
      <w:r w:rsidR="00C86B54" w:rsidRPr="00EC7327">
        <w:rPr>
          <w:rFonts w:cs="Arial"/>
          <w:sz w:val="20"/>
          <w:szCs w:val="20"/>
        </w:rPr>
        <w:t>Peligro Inminente</w:t>
      </w:r>
      <w:r w:rsidR="000B4A86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AB2A43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>NOMBRE DEL PIP DE EMERGENCIA</w:t>
      </w:r>
      <w:r w:rsidR="00503408" w:rsidRPr="00EC7327">
        <w:rPr>
          <w:rStyle w:val="EstiloArial10ptNegritaNegro"/>
          <w:rFonts w:ascii="Arial Narrow" w:hAnsi="Arial Narrow"/>
          <w:b/>
          <w:bCs/>
        </w:rPr>
        <w:t xml:space="preserve"> por </w:t>
      </w:r>
      <w:r w:rsidR="00C86B54" w:rsidRPr="00EC7327">
        <w:rPr>
          <w:rStyle w:val="EstiloArial10ptNegritaNegro"/>
          <w:rFonts w:ascii="Arial Narrow" w:hAnsi="Arial Narrow"/>
          <w:b/>
          <w:bCs/>
        </w:rPr>
        <w:t>Peligro Inminente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2C6045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El </w:t>
      </w:r>
      <w:r w:rsidR="00AB2A43" w:rsidRPr="00EC7327">
        <w:rPr>
          <w:rFonts w:cs="Arial"/>
          <w:sz w:val="20"/>
          <w:szCs w:val="20"/>
        </w:rPr>
        <w:t xml:space="preserve">nombre del PIP de </w:t>
      </w:r>
      <w:r w:rsidR="00C70EFD" w:rsidRPr="00EC7327">
        <w:rPr>
          <w:rFonts w:cs="Arial"/>
          <w:sz w:val="20"/>
          <w:szCs w:val="20"/>
        </w:rPr>
        <w:t>E</w:t>
      </w:r>
      <w:r w:rsidR="00AB2A43" w:rsidRPr="00EC7327">
        <w:rPr>
          <w:rFonts w:cs="Arial"/>
          <w:sz w:val="20"/>
          <w:szCs w:val="20"/>
        </w:rPr>
        <w:t xml:space="preserve">mergencia </w:t>
      </w:r>
      <w:r w:rsidR="00030BED" w:rsidRPr="00EC7327">
        <w:rPr>
          <w:rFonts w:cs="Arial"/>
          <w:sz w:val="20"/>
          <w:szCs w:val="20"/>
        </w:rPr>
        <w:t xml:space="preserve">por </w:t>
      </w:r>
      <w:r w:rsidR="00C86B54" w:rsidRPr="00EC7327">
        <w:rPr>
          <w:rFonts w:cs="Arial"/>
          <w:sz w:val="20"/>
          <w:szCs w:val="20"/>
        </w:rPr>
        <w:t>Peligro Inminente</w:t>
      </w:r>
      <w:r w:rsidR="00030BED" w:rsidRPr="00EC7327">
        <w:rPr>
          <w:rFonts w:cs="Arial"/>
          <w:sz w:val="20"/>
          <w:szCs w:val="20"/>
        </w:rPr>
        <w:t xml:space="preserve"> </w:t>
      </w:r>
      <w:r w:rsidR="009904DB" w:rsidRPr="00EC7327">
        <w:rPr>
          <w:rFonts w:cs="Arial"/>
          <w:sz w:val="20"/>
          <w:szCs w:val="20"/>
        </w:rPr>
        <w:t xml:space="preserve">debe </w:t>
      </w:r>
      <w:r w:rsidR="009D4574" w:rsidRPr="00EC7327">
        <w:rPr>
          <w:rFonts w:cs="Arial"/>
          <w:sz w:val="20"/>
          <w:szCs w:val="20"/>
        </w:rPr>
        <w:t xml:space="preserve">contener la </w:t>
      </w:r>
      <w:r w:rsidR="009904DB" w:rsidRPr="00EC7327">
        <w:rPr>
          <w:rFonts w:cs="Arial"/>
          <w:sz w:val="20"/>
          <w:szCs w:val="20"/>
        </w:rPr>
        <w:t xml:space="preserve">siguiente </w:t>
      </w:r>
      <w:r w:rsidR="00AB2A43" w:rsidRPr="00EC7327">
        <w:rPr>
          <w:rFonts w:cs="Arial"/>
          <w:sz w:val="20"/>
          <w:szCs w:val="20"/>
        </w:rPr>
        <w:t>información</w:t>
      </w:r>
      <w:r w:rsidR="009D4574" w:rsidRPr="00EC7327">
        <w:rPr>
          <w:rFonts w:cs="Arial"/>
          <w:sz w:val="20"/>
          <w:szCs w:val="20"/>
        </w:rPr>
        <w:t>:</w:t>
      </w:r>
      <w:r w:rsidR="00A313C7" w:rsidRPr="00EC7327">
        <w:rPr>
          <w:rFonts w:cs="Arial"/>
          <w:sz w:val="20"/>
          <w:szCs w:val="20"/>
        </w:rPr>
        <w:t xml:space="preserve"> tipo de intervención</w:t>
      </w:r>
      <w:r w:rsidR="009904DB" w:rsidRPr="00EC7327">
        <w:rPr>
          <w:rFonts w:cs="Arial"/>
          <w:sz w:val="20"/>
          <w:szCs w:val="20"/>
        </w:rPr>
        <w:t xml:space="preserve">, </w:t>
      </w:r>
      <w:r w:rsidR="00AB2A43" w:rsidRPr="00EC7327">
        <w:rPr>
          <w:rFonts w:cs="Arial"/>
          <w:sz w:val="20"/>
          <w:szCs w:val="20"/>
        </w:rPr>
        <w:t xml:space="preserve">infraestructura </w:t>
      </w:r>
      <w:r w:rsidR="0069629C" w:rsidRPr="00EC7327">
        <w:rPr>
          <w:rFonts w:cs="Arial"/>
          <w:sz w:val="20"/>
          <w:szCs w:val="20"/>
        </w:rPr>
        <w:t>p</w:t>
      </w:r>
      <w:r w:rsidR="00A313C7" w:rsidRPr="00EC7327">
        <w:rPr>
          <w:rFonts w:cs="Arial"/>
          <w:sz w:val="20"/>
          <w:szCs w:val="20"/>
        </w:rPr>
        <w:t xml:space="preserve">ública </w:t>
      </w:r>
      <w:r w:rsidR="00AB2A43" w:rsidRPr="00EC7327">
        <w:rPr>
          <w:rFonts w:cs="Arial"/>
          <w:sz w:val="20"/>
          <w:szCs w:val="20"/>
        </w:rPr>
        <w:t xml:space="preserve">a </w:t>
      </w:r>
      <w:r w:rsidR="00F91450" w:rsidRPr="00EC7327">
        <w:rPr>
          <w:rFonts w:cs="Arial"/>
          <w:sz w:val="20"/>
          <w:szCs w:val="20"/>
        </w:rPr>
        <w:t>intervenir</w:t>
      </w:r>
      <w:r w:rsidR="00AB2A43" w:rsidRPr="00EC7327">
        <w:rPr>
          <w:rFonts w:cs="Arial"/>
          <w:color w:val="000000"/>
          <w:sz w:val="20"/>
          <w:szCs w:val="20"/>
        </w:rPr>
        <w:t xml:space="preserve">, </w:t>
      </w:r>
      <w:r w:rsidR="0069629C" w:rsidRPr="00EC7327">
        <w:rPr>
          <w:rFonts w:cs="Arial"/>
          <w:color w:val="000000"/>
          <w:sz w:val="20"/>
          <w:szCs w:val="20"/>
        </w:rPr>
        <w:t>localización</w:t>
      </w:r>
      <w:r w:rsidR="00315535" w:rsidRPr="00EC7327">
        <w:rPr>
          <w:rFonts w:cs="Arial"/>
          <w:color w:val="000000"/>
          <w:sz w:val="20"/>
          <w:szCs w:val="20"/>
        </w:rPr>
        <w:t>, tipo de peligro</w:t>
      </w:r>
      <w:r w:rsidR="009904DB" w:rsidRPr="00EC7327">
        <w:rPr>
          <w:rFonts w:cs="Arial"/>
          <w:sz w:val="20"/>
          <w:szCs w:val="20"/>
        </w:rPr>
        <w:t xml:space="preserve"> </w:t>
      </w:r>
      <w:r w:rsidR="00215C37" w:rsidRPr="00EC7327">
        <w:rPr>
          <w:rFonts w:cs="Arial"/>
          <w:sz w:val="20"/>
          <w:szCs w:val="20"/>
        </w:rPr>
        <w:t xml:space="preserve">con probabilidad de ocurrir y </w:t>
      </w:r>
      <w:r w:rsidR="001F2F79" w:rsidRPr="00EC7327">
        <w:rPr>
          <w:rFonts w:cs="Arial"/>
          <w:sz w:val="20"/>
          <w:szCs w:val="20"/>
        </w:rPr>
        <w:t>ocasionar</w:t>
      </w:r>
      <w:r w:rsidR="00215C37" w:rsidRPr="00EC7327">
        <w:rPr>
          <w:rFonts w:cs="Arial"/>
          <w:sz w:val="20"/>
          <w:szCs w:val="20"/>
        </w:rPr>
        <w:t xml:space="preserve"> el desastre</w:t>
      </w:r>
      <w:r w:rsidR="001A1AA2" w:rsidRPr="00EC7327">
        <w:rPr>
          <w:rFonts w:cs="Arial"/>
          <w:sz w:val="20"/>
          <w:szCs w:val="20"/>
        </w:rPr>
        <w:t xml:space="preserve">. </w:t>
      </w:r>
      <w:r w:rsidR="00F82BD3" w:rsidRPr="00EC7327">
        <w:rPr>
          <w:rFonts w:cs="Arial"/>
          <w:sz w:val="20"/>
          <w:szCs w:val="20"/>
        </w:rPr>
        <w:t>La fecha probable de ocurrencia del peligro inminente</w:t>
      </w:r>
      <w:r w:rsidR="004B13FD" w:rsidRPr="00EC7327">
        <w:rPr>
          <w:rFonts w:cs="Arial"/>
          <w:sz w:val="20"/>
          <w:szCs w:val="20"/>
        </w:rPr>
        <w:t>,</w:t>
      </w:r>
      <w:r w:rsidR="00F82BD3" w:rsidRPr="00EC7327">
        <w:rPr>
          <w:rFonts w:cs="Arial"/>
          <w:sz w:val="20"/>
          <w:szCs w:val="20"/>
        </w:rPr>
        <w:t xml:space="preserve"> solo será considerada </w:t>
      </w:r>
      <w:r w:rsidR="001F2F79" w:rsidRPr="00EC7327">
        <w:rPr>
          <w:rFonts w:cs="Arial"/>
          <w:sz w:val="20"/>
          <w:szCs w:val="20"/>
        </w:rPr>
        <w:t xml:space="preserve">como fecha probable, </w:t>
      </w:r>
      <w:r w:rsidR="001F2F79" w:rsidRPr="00EC7327">
        <w:rPr>
          <w:rFonts w:cs="Arial"/>
          <w:color w:val="000000"/>
          <w:sz w:val="20"/>
          <w:szCs w:val="20"/>
        </w:rPr>
        <w:t>p</w:t>
      </w:r>
      <w:r w:rsidR="000B4A86" w:rsidRPr="00EC7327">
        <w:rPr>
          <w:rFonts w:cs="Arial"/>
          <w:color w:val="000000"/>
          <w:sz w:val="20"/>
          <w:szCs w:val="20"/>
        </w:rPr>
        <w:t>udiendo ser mes</w:t>
      </w:r>
      <w:r w:rsidR="001F2F79" w:rsidRPr="00EC7327">
        <w:rPr>
          <w:rFonts w:cs="Arial"/>
          <w:color w:val="000000"/>
          <w:sz w:val="20"/>
          <w:szCs w:val="20"/>
        </w:rPr>
        <w:t xml:space="preserve"> o </w:t>
      </w:r>
      <w:r w:rsidR="000B4A86" w:rsidRPr="00EC7327">
        <w:rPr>
          <w:rFonts w:cs="Arial"/>
          <w:color w:val="000000"/>
          <w:sz w:val="20"/>
          <w:szCs w:val="20"/>
        </w:rPr>
        <w:t>año</w:t>
      </w:r>
      <w:r w:rsidR="00030BED" w:rsidRPr="00EC7327">
        <w:rPr>
          <w:rFonts w:cs="Arial"/>
          <w:color w:val="000000"/>
          <w:sz w:val="20"/>
          <w:szCs w:val="20"/>
        </w:rPr>
        <w:t>.</w:t>
      </w:r>
    </w:p>
    <w:p w:rsidR="00C70EFD" w:rsidRPr="00EC7327" w:rsidRDefault="00AB2A43" w:rsidP="00511FED">
      <w:pPr>
        <w:ind w:left="567" w:right="-141"/>
        <w:jc w:val="center"/>
        <w:rPr>
          <w:rFonts w:cs="Arial"/>
          <w:b/>
          <w:bCs/>
          <w:sz w:val="20"/>
          <w:szCs w:val="20"/>
        </w:rPr>
      </w:pPr>
      <w:r w:rsidRPr="00EC7327">
        <w:rPr>
          <w:rFonts w:cs="Arial"/>
          <w:b/>
          <w:bCs/>
          <w:sz w:val="20"/>
          <w:szCs w:val="20"/>
        </w:rPr>
        <w:t>[</w:t>
      </w:r>
      <w:r w:rsidR="00C70EFD" w:rsidRPr="00EC7327">
        <w:rPr>
          <w:rFonts w:cs="Arial"/>
          <w:b/>
          <w:bCs/>
          <w:sz w:val="20"/>
          <w:szCs w:val="20"/>
        </w:rPr>
        <w:t>Tipo de intervención</w:t>
      </w:r>
      <w:r w:rsidRPr="00EC7327">
        <w:rPr>
          <w:rFonts w:cs="Arial"/>
          <w:b/>
          <w:bCs/>
          <w:sz w:val="20"/>
          <w:szCs w:val="20"/>
        </w:rPr>
        <w:t xml:space="preserve">] </w:t>
      </w:r>
      <w:r w:rsidRPr="00EC7327">
        <w:rPr>
          <w:rFonts w:cs="Arial"/>
          <w:b/>
          <w:bCs/>
          <w:color w:val="0070C0"/>
          <w:sz w:val="20"/>
          <w:szCs w:val="20"/>
        </w:rPr>
        <w:t>[</w:t>
      </w:r>
      <w:r w:rsidR="00C70EFD" w:rsidRPr="00EC7327">
        <w:rPr>
          <w:rFonts w:cs="Arial"/>
          <w:b/>
          <w:bCs/>
          <w:color w:val="0070C0"/>
          <w:sz w:val="20"/>
          <w:szCs w:val="20"/>
        </w:rPr>
        <w:t xml:space="preserve">Infraestructura </w:t>
      </w:r>
      <w:r w:rsidR="0069629C" w:rsidRPr="00EC7327">
        <w:rPr>
          <w:rFonts w:cs="Arial"/>
          <w:b/>
          <w:bCs/>
          <w:color w:val="0070C0"/>
          <w:sz w:val="20"/>
          <w:szCs w:val="20"/>
        </w:rPr>
        <w:t>p</w:t>
      </w:r>
      <w:r w:rsidR="00C70EFD" w:rsidRPr="00EC7327">
        <w:rPr>
          <w:rFonts w:cs="Arial"/>
          <w:b/>
          <w:bCs/>
          <w:color w:val="0070C0"/>
          <w:sz w:val="20"/>
          <w:szCs w:val="20"/>
        </w:rPr>
        <w:t xml:space="preserve">ública a </w:t>
      </w:r>
      <w:r w:rsidR="00F91450" w:rsidRPr="00EC7327">
        <w:rPr>
          <w:rFonts w:cs="Arial"/>
          <w:b/>
          <w:bCs/>
          <w:color w:val="0070C0"/>
          <w:sz w:val="20"/>
          <w:szCs w:val="20"/>
        </w:rPr>
        <w:t>intervenir</w:t>
      </w:r>
      <w:r w:rsidRPr="00EC7327">
        <w:rPr>
          <w:rFonts w:cs="Arial"/>
          <w:b/>
          <w:bCs/>
          <w:sz w:val="20"/>
          <w:szCs w:val="20"/>
        </w:rPr>
        <w:t>]</w:t>
      </w:r>
      <w:r w:rsidR="00C70EFD" w:rsidRPr="00EC7327">
        <w:rPr>
          <w:rFonts w:cs="Arial"/>
          <w:b/>
          <w:bCs/>
          <w:sz w:val="20"/>
          <w:szCs w:val="20"/>
        </w:rPr>
        <w:t>[</w:t>
      </w:r>
      <w:r w:rsidR="0069629C" w:rsidRPr="00EC7327">
        <w:rPr>
          <w:rFonts w:cs="Arial"/>
          <w:b/>
          <w:bCs/>
          <w:sz w:val="20"/>
          <w:szCs w:val="20"/>
        </w:rPr>
        <w:t>L</w:t>
      </w:r>
      <w:r w:rsidR="00C70EFD" w:rsidRPr="00EC7327">
        <w:rPr>
          <w:rFonts w:cs="Arial"/>
          <w:b/>
          <w:bCs/>
          <w:sz w:val="20"/>
          <w:szCs w:val="20"/>
        </w:rPr>
        <w:t>ocaliza</w:t>
      </w:r>
      <w:r w:rsidR="0069629C" w:rsidRPr="00EC7327">
        <w:rPr>
          <w:rFonts w:cs="Arial"/>
          <w:b/>
          <w:bCs/>
          <w:sz w:val="20"/>
          <w:szCs w:val="20"/>
        </w:rPr>
        <w:t>ción</w:t>
      </w:r>
      <w:r w:rsidR="00C70EFD" w:rsidRPr="00EC7327">
        <w:rPr>
          <w:rFonts w:cs="Arial"/>
          <w:b/>
          <w:bCs/>
          <w:sz w:val="20"/>
          <w:szCs w:val="20"/>
        </w:rPr>
        <w:t>]</w:t>
      </w:r>
    </w:p>
    <w:p w:rsidR="00AB2A43" w:rsidRPr="00EC7327" w:rsidRDefault="00AB2A43" w:rsidP="00511FED">
      <w:pPr>
        <w:ind w:left="567" w:right="-141"/>
        <w:jc w:val="center"/>
        <w:rPr>
          <w:rFonts w:cs="Arial"/>
          <w:b/>
          <w:bCs/>
          <w:sz w:val="20"/>
          <w:szCs w:val="20"/>
        </w:rPr>
      </w:pPr>
      <w:r w:rsidRPr="00EC7327">
        <w:rPr>
          <w:rFonts w:cs="Arial"/>
          <w:b/>
          <w:bCs/>
          <w:sz w:val="20"/>
          <w:szCs w:val="20"/>
        </w:rPr>
        <w:t xml:space="preserve"> [</w:t>
      </w:r>
      <w:r w:rsidR="00234481" w:rsidRPr="00EC7327">
        <w:rPr>
          <w:rFonts w:cs="Arial"/>
          <w:b/>
          <w:bCs/>
          <w:sz w:val="20"/>
          <w:szCs w:val="20"/>
        </w:rPr>
        <w:t xml:space="preserve">Tipo de peligro </w:t>
      </w:r>
      <w:r w:rsidR="001F2F79" w:rsidRPr="00EC7327">
        <w:rPr>
          <w:rFonts w:cs="Arial"/>
          <w:b/>
          <w:bCs/>
          <w:sz w:val="20"/>
          <w:szCs w:val="20"/>
        </w:rPr>
        <w:t>por ocurrir y ocasionar e</w:t>
      </w:r>
      <w:r w:rsidR="00234481" w:rsidRPr="00EC7327">
        <w:rPr>
          <w:rFonts w:cs="Arial"/>
          <w:b/>
          <w:bCs/>
          <w:sz w:val="20"/>
          <w:szCs w:val="20"/>
        </w:rPr>
        <w:t>l d</w:t>
      </w:r>
      <w:r w:rsidR="001F2F79" w:rsidRPr="00EC7327">
        <w:rPr>
          <w:rFonts w:cs="Arial"/>
          <w:b/>
          <w:bCs/>
          <w:sz w:val="20"/>
          <w:szCs w:val="20"/>
        </w:rPr>
        <w:t>esastre</w:t>
      </w:r>
      <w:r w:rsidR="00234481" w:rsidRPr="00EC7327">
        <w:rPr>
          <w:rFonts w:cs="Arial"/>
          <w:b/>
          <w:bCs/>
          <w:sz w:val="20"/>
          <w:szCs w:val="20"/>
        </w:rPr>
        <w:t xml:space="preserve"> y </w:t>
      </w:r>
      <w:r w:rsidR="00234481" w:rsidRPr="00EC7327">
        <w:rPr>
          <w:rFonts w:cs="Arial"/>
          <w:b/>
          <w:bCs/>
          <w:color w:val="538135" w:themeColor="accent6" w:themeShade="BF"/>
          <w:sz w:val="20"/>
          <w:szCs w:val="20"/>
        </w:rPr>
        <w:t xml:space="preserve">fecha de ocurrencia </w:t>
      </w:r>
      <w:r w:rsidR="001A1AA2" w:rsidRPr="00EC7327">
        <w:rPr>
          <w:rFonts w:cs="Arial"/>
          <w:b/>
          <w:bCs/>
          <w:color w:val="538135" w:themeColor="accent6" w:themeShade="BF"/>
          <w:sz w:val="20"/>
          <w:szCs w:val="20"/>
        </w:rPr>
        <w:t>estimada</w:t>
      </w:r>
      <w:r w:rsidRPr="00EC7327">
        <w:rPr>
          <w:rFonts w:cs="Arial"/>
          <w:b/>
          <w:bCs/>
          <w:sz w:val="20"/>
          <w:szCs w:val="20"/>
        </w:rPr>
        <w:t>]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912482" w:rsidRPr="00EC7327" w:rsidRDefault="00AB2A43" w:rsidP="00912482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</w:rPr>
        <w:t xml:space="preserve"> </w:t>
      </w:r>
      <w:r w:rsidR="00343827" w:rsidRPr="00EC7327">
        <w:rPr>
          <w:rFonts w:cs="Arial"/>
          <w:sz w:val="20"/>
          <w:szCs w:val="20"/>
        </w:rPr>
        <w:t>E</w:t>
      </w:r>
      <w:r w:rsidR="007D5FEA" w:rsidRPr="00EC7327">
        <w:rPr>
          <w:rFonts w:cs="Arial"/>
          <w:sz w:val="20"/>
          <w:szCs w:val="20"/>
        </w:rPr>
        <w:t>l Tipo de</w:t>
      </w:r>
      <w:r w:rsidR="00BF4BF5" w:rsidRPr="00EC7327">
        <w:rPr>
          <w:rFonts w:cs="Arial"/>
          <w:sz w:val="20"/>
          <w:szCs w:val="20"/>
        </w:rPr>
        <w:t xml:space="preserve"> intervención para </w:t>
      </w:r>
      <w:r w:rsidR="00FB4FB2" w:rsidRPr="00EC7327">
        <w:rPr>
          <w:rFonts w:cs="Arial"/>
          <w:sz w:val="20"/>
          <w:szCs w:val="20"/>
        </w:rPr>
        <w:t>la mayoría de casos de</w:t>
      </w:r>
      <w:r w:rsidR="00BF4BF5" w:rsidRPr="00EC7327">
        <w:rPr>
          <w:rFonts w:cs="Arial"/>
          <w:sz w:val="20"/>
          <w:szCs w:val="20"/>
        </w:rPr>
        <w:t xml:space="preserve"> PIP de Emergencia</w:t>
      </w:r>
      <w:r w:rsidR="000B4A86" w:rsidRPr="00EC7327">
        <w:rPr>
          <w:rFonts w:cs="Arial"/>
          <w:sz w:val="20"/>
          <w:szCs w:val="20"/>
        </w:rPr>
        <w:t xml:space="preserve"> por </w:t>
      </w:r>
      <w:r w:rsidR="00C86B54" w:rsidRPr="00EC7327">
        <w:rPr>
          <w:rFonts w:cs="Arial"/>
          <w:sz w:val="20"/>
          <w:szCs w:val="20"/>
        </w:rPr>
        <w:t>Peligro Inminente</w:t>
      </w:r>
      <w:r w:rsidR="00BF4BF5" w:rsidRPr="00EC7327">
        <w:rPr>
          <w:rFonts w:cs="Arial"/>
          <w:sz w:val="20"/>
          <w:szCs w:val="20"/>
        </w:rPr>
        <w:t>, está referida a</w:t>
      </w:r>
      <w:r w:rsidR="001A1AA2" w:rsidRPr="00EC7327">
        <w:rPr>
          <w:rFonts w:cs="Arial"/>
          <w:sz w:val="20"/>
          <w:szCs w:val="20"/>
        </w:rPr>
        <w:t xml:space="preserve">l servicio de protección para reducir el riesgo de impacto de las unidades productoras de bienes o servicios públicos (infraestructura pública) </w:t>
      </w:r>
      <w:r w:rsidR="00503408" w:rsidRPr="00EC7327">
        <w:rPr>
          <w:rFonts w:cs="Arial"/>
          <w:sz w:val="20"/>
          <w:szCs w:val="20"/>
        </w:rPr>
        <w:t xml:space="preserve">ante posibles daños por la ocurrencia de un </w:t>
      </w:r>
      <w:r w:rsidR="001F2F79" w:rsidRPr="00EC7327">
        <w:rPr>
          <w:rFonts w:cs="Arial"/>
          <w:sz w:val="20"/>
          <w:szCs w:val="20"/>
        </w:rPr>
        <w:t>desastre</w:t>
      </w:r>
      <w:r w:rsidR="00503408" w:rsidRPr="00EC7327">
        <w:rPr>
          <w:rFonts w:cs="Arial"/>
          <w:sz w:val="20"/>
          <w:szCs w:val="20"/>
        </w:rPr>
        <w:t>.</w:t>
      </w:r>
      <w:r w:rsidR="00912482" w:rsidRPr="00EC7327">
        <w:rPr>
          <w:rFonts w:cs="Arial"/>
          <w:sz w:val="20"/>
          <w:szCs w:val="20"/>
        </w:rPr>
        <w:t xml:space="preserve"> </w:t>
      </w:r>
      <w:r w:rsidR="00912482" w:rsidRPr="00EC7327">
        <w:rPr>
          <w:rFonts w:cs="Arial"/>
          <w:color w:val="auto"/>
          <w:sz w:val="20"/>
          <w:szCs w:val="20"/>
          <w:lang w:val="es-PE"/>
        </w:rPr>
        <w:t>El número de caracteres contando los espacios en blanco del Nombre del PIP de Emergencia, no debe ser mayor a 240 caracteres.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6E5906" w:rsidRPr="00EC7327" w:rsidRDefault="00234E86" w:rsidP="00511FED">
      <w:pPr>
        <w:ind w:left="567" w:right="-141"/>
        <w:jc w:val="both"/>
        <w:rPr>
          <w:rFonts w:cs="Arial"/>
          <w:b/>
          <w:sz w:val="20"/>
          <w:szCs w:val="20"/>
        </w:rPr>
      </w:pPr>
      <w:bookmarkStart w:id="0" w:name="OLE_LINK1"/>
      <w:bookmarkStart w:id="1" w:name="OLE_LINK2"/>
      <w:r w:rsidRPr="00EC7327">
        <w:rPr>
          <w:rFonts w:cs="Arial"/>
          <w:b/>
          <w:sz w:val="20"/>
          <w:szCs w:val="20"/>
        </w:rPr>
        <w:t>E</w:t>
      </w:r>
      <w:r w:rsidR="00AB2A43" w:rsidRPr="00EC7327">
        <w:rPr>
          <w:rFonts w:cs="Arial"/>
          <w:b/>
          <w:sz w:val="20"/>
          <w:szCs w:val="20"/>
        </w:rPr>
        <w:t>jemplo:</w:t>
      </w:r>
    </w:p>
    <w:p w:rsidR="00AB2A43" w:rsidRPr="00EC7327" w:rsidRDefault="006649FC" w:rsidP="006E5906">
      <w:pPr>
        <w:ind w:left="1440" w:right="-141"/>
        <w:jc w:val="both"/>
        <w:rPr>
          <w:rFonts w:cs="Arial"/>
          <w:b/>
          <w:sz w:val="20"/>
          <w:szCs w:val="20"/>
        </w:rPr>
      </w:pPr>
      <w:r w:rsidRPr="00EC7327">
        <w:rPr>
          <w:rFonts w:cs="Arial"/>
          <w:b/>
          <w:sz w:val="20"/>
          <w:szCs w:val="20"/>
        </w:rPr>
        <w:t xml:space="preserve">Instalación del servicio de protección contra probable inundación por ocurrencia de Fenómeno El Niño en la </w:t>
      </w:r>
      <w:r w:rsidR="00AB2A43" w:rsidRPr="00EC7327">
        <w:rPr>
          <w:rFonts w:cs="Arial"/>
          <w:b/>
          <w:sz w:val="20"/>
          <w:szCs w:val="20"/>
        </w:rPr>
        <w:t>localidad La Esmeralda</w:t>
      </w:r>
      <w:r w:rsidR="007D5FEA" w:rsidRPr="00EC7327">
        <w:rPr>
          <w:rFonts w:cs="Arial"/>
          <w:b/>
          <w:sz w:val="20"/>
          <w:szCs w:val="20"/>
        </w:rPr>
        <w:t xml:space="preserve">, </w:t>
      </w:r>
      <w:r w:rsidR="006E5906" w:rsidRPr="00EC7327">
        <w:rPr>
          <w:rFonts w:cs="Arial"/>
          <w:b/>
          <w:sz w:val="20"/>
          <w:szCs w:val="20"/>
        </w:rPr>
        <w:t xml:space="preserve">distrito </w:t>
      </w:r>
      <w:r w:rsidR="007D5FEA" w:rsidRPr="00EC7327">
        <w:rPr>
          <w:rFonts w:cs="Arial"/>
          <w:b/>
          <w:sz w:val="20"/>
          <w:szCs w:val="20"/>
        </w:rPr>
        <w:t>Pisco</w:t>
      </w:r>
      <w:r w:rsidR="006E5906" w:rsidRPr="00EC7327">
        <w:rPr>
          <w:rFonts w:cs="Arial"/>
          <w:b/>
          <w:sz w:val="20"/>
          <w:szCs w:val="20"/>
        </w:rPr>
        <w:t xml:space="preserve"> – Pisco -</w:t>
      </w:r>
      <w:r w:rsidR="007D5FEA" w:rsidRPr="00EC7327">
        <w:rPr>
          <w:rFonts w:cs="Arial"/>
          <w:b/>
          <w:sz w:val="20"/>
          <w:szCs w:val="20"/>
        </w:rPr>
        <w:t xml:space="preserve"> Ica</w:t>
      </w:r>
      <w:r w:rsidRPr="00EC7327">
        <w:rPr>
          <w:rFonts w:cs="Arial"/>
          <w:b/>
          <w:sz w:val="20"/>
          <w:szCs w:val="20"/>
        </w:rPr>
        <w:t xml:space="preserve"> en el año </w:t>
      </w:r>
      <w:r w:rsidR="00271F8F" w:rsidRPr="00EC7327">
        <w:rPr>
          <w:rFonts w:cs="Arial"/>
          <w:b/>
          <w:sz w:val="20"/>
          <w:szCs w:val="20"/>
        </w:rPr>
        <w:t>20</w:t>
      </w:r>
      <w:r w:rsidR="00D2499C" w:rsidRPr="00EC7327">
        <w:rPr>
          <w:rFonts w:cs="Arial"/>
          <w:b/>
          <w:sz w:val="20"/>
          <w:szCs w:val="20"/>
        </w:rPr>
        <w:t>13</w:t>
      </w:r>
      <w:r w:rsidR="00AB2A43" w:rsidRPr="00EC7327">
        <w:rPr>
          <w:rFonts w:cs="Arial"/>
          <w:b/>
          <w:sz w:val="20"/>
          <w:szCs w:val="20"/>
        </w:rPr>
        <w:t>.</w:t>
      </w:r>
    </w:p>
    <w:p w:rsidR="001A4BE3" w:rsidRPr="00EC7327" w:rsidRDefault="001A4BE3" w:rsidP="001A4BE3">
      <w:pPr>
        <w:pStyle w:val="Default"/>
        <w:rPr>
          <w:lang w:val="es-PE"/>
        </w:rPr>
      </w:pPr>
    </w:p>
    <w:p w:rsidR="00912482" w:rsidRPr="00EC7327" w:rsidRDefault="00912482" w:rsidP="00912482">
      <w:pPr>
        <w:pStyle w:val="Default"/>
        <w:ind w:left="1440"/>
        <w:rPr>
          <w:rFonts w:cs="Arial"/>
          <w:b/>
          <w:color w:val="auto"/>
          <w:sz w:val="20"/>
          <w:szCs w:val="20"/>
          <w:lang w:val="es-PE"/>
        </w:rPr>
      </w:pPr>
      <w:r w:rsidRPr="00EC7327">
        <w:rPr>
          <w:rFonts w:cs="Arial"/>
          <w:b/>
          <w:color w:val="auto"/>
          <w:sz w:val="20"/>
          <w:szCs w:val="20"/>
          <w:lang w:val="es-PE"/>
        </w:rPr>
        <w:t xml:space="preserve">Instalación del </w:t>
      </w:r>
      <w:r w:rsidRPr="00EC7327">
        <w:rPr>
          <w:rFonts w:cs="Arial"/>
          <w:b/>
          <w:color w:val="0070C0"/>
          <w:sz w:val="20"/>
          <w:szCs w:val="20"/>
          <w:lang w:val="es-PE"/>
        </w:rPr>
        <w:t>servicio de protección frente a inundaciones</w:t>
      </w:r>
      <w:r w:rsidRPr="00EC7327">
        <w:rPr>
          <w:rFonts w:cs="Arial"/>
          <w:b/>
          <w:color w:val="auto"/>
          <w:sz w:val="20"/>
          <w:szCs w:val="20"/>
          <w:lang w:val="es-PE"/>
        </w:rPr>
        <w:t xml:space="preserve"> en la margen izquierda de la quebrada Shitari, localidad Shepte, distrito de Huicungo-Mariscal Caceres - San Martín</w:t>
      </w:r>
    </w:p>
    <w:p w:rsidR="00511FED" w:rsidRPr="00EC7327" w:rsidRDefault="00511FED" w:rsidP="00511FED">
      <w:pPr>
        <w:pStyle w:val="Default"/>
        <w:rPr>
          <w:lang w:val="es-PE"/>
        </w:rPr>
      </w:pPr>
    </w:p>
    <w:bookmarkEnd w:id="0"/>
    <w:bookmarkEnd w:id="1"/>
    <w:p w:rsidR="00AB2A43" w:rsidRPr="00EC7327" w:rsidRDefault="00706041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>ENTIDAD PÚBLICA</w:t>
      </w:r>
      <w:r w:rsidR="00AB2A43" w:rsidRPr="00EC7327">
        <w:rPr>
          <w:rStyle w:val="EstiloArial10ptNegritaNegro"/>
          <w:rFonts w:ascii="Arial Narrow" w:hAnsi="Arial Narrow"/>
          <w:b/>
          <w:bCs/>
        </w:rPr>
        <w:t xml:space="preserve"> 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C328A5" w:rsidRPr="00EC7327" w:rsidRDefault="001F763D" w:rsidP="00511FED">
      <w:pPr>
        <w:ind w:left="567" w:right="-141" w:hanging="567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2.1 </w:t>
      </w:r>
      <w:r w:rsidRPr="00EC7327">
        <w:rPr>
          <w:rFonts w:cs="Arial"/>
          <w:sz w:val="20"/>
          <w:szCs w:val="20"/>
        </w:rPr>
        <w:tab/>
      </w:r>
      <w:r w:rsidR="00A313C7" w:rsidRPr="00EC7327">
        <w:rPr>
          <w:rFonts w:cs="Arial"/>
          <w:sz w:val="20"/>
          <w:szCs w:val="20"/>
        </w:rPr>
        <w:t xml:space="preserve">NOMBRE DE LA </w:t>
      </w:r>
      <w:r w:rsidR="007D5FEA" w:rsidRPr="00EC7327">
        <w:rPr>
          <w:rFonts w:cs="Arial"/>
          <w:sz w:val="20"/>
          <w:szCs w:val="20"/>
        </w:rPr>
        <w:t xml:space="preserve">ENTIDAD </w:t>
      </w:r>
      <w:r w:rsidR="00A80D36" w:rsidRPr="00EC7327">
        <w:rPr>
          <w:rFonts w:cs="Arial"/>
          <w:sz w:val="20"/>
          <w:szCs w:val="20"/>
        </w:rPr>
        <w:t xml:space="preserve">DEL SECTOR </w:t>
      </w:r>
      <w:r w:rsidR="00B87796" w:rsidRPr="00EC7327">
        <w:rPr>
          <w:rFonts w:cs="Arial"/>
          <w:sz w:val="20"/>
          <w:szCs w:val="20"/>
        </w:rPr>
        <w:t>PÚBLIC</w:t>
      </w:r>
      <w:r w:rsidR="00A80D36" w:rsidRPr="00EC7327">
        <w:rPr>
          <w:rFonts w:cs="Arial"/>
          <w:sz w:val="20"/>
          <w:szCs w:val="20"/>
        </w:rPr>
        <w:t>O</w:t>
      </w:r>
      <w:r w:rsidR="00B87796" w:rsidRPr="00EC7327">
        <w:rPr>
          <w:rFonts w:cs="Arial"/>
          <w:sz w:val="20"/>
          <w:szCs w:val="20"/>
        </w:rPr>
        <w:t xml:space="preserve"> </w:t>
      </w:r>
      <w:r w:rsidR="00706041" w:rsidRPr="00EC7327">
        <w:rPr>
          <w:rFonts w:cs="Arial"/>
          <w:sz w:val="20"/>
          <w:szCs w:val="20"/>
        </w:rPr>
        <w:t>QUE PRESENTA EL PIP DE EMERGENCIA</w:t>
      </w:r>
      <w:r w:rsidR="008E047E" w:rsidRPr="00EC7327">
        <w:rPr>
          <w:rFonts w:cs="Arial"/>
          <w:sz w:val="20"/>
          <w:szCs w:val="20"/>
        </w:rPr>
        <w:t xml:space="preserve"> </w:t>
      </w:r>
      <w:r w:rsidR="00503408" w:rsidRPr="00EC7327">
        <w:rPr>
          <w:rFonts w:cs="Arial"/>
          <w:sz w:val="20"/>
          <w:szCs w:val="20"/>
        </w:rPr>
        <w:t xml:space="preserve">POR </w:t>
      </w:r>
      <w:r w:rsidR="00C86B54" w:rsidRPr="00EC7327">
        <w:rPr>
          <w:rFonts w:cs="Arial"/>
          <w:sz w:val="20"/>
          <w:szCs w:val="20"/>
        </w:rPr>
        <w:t>PELIGRO INMINENTE</w:t>
      </w:r>
      <w:r w:rsidR="00503408" w:rsidRPr="00EC7327">
        <w:rPr>
          <w:rFonts w:cs="Arial"/>
          <w:sz w:val="20"/>
          <w:szCs w:val="20"/>
        </w:rPr>
        <w:t xml:space="preserve"> </w:t>
      </w:r>
      <w:r w:rsidR="00F26835" w:rsidRPr="00EC7327">
        <w:rPr>
          <w:rFonts w:cs="Arial"/>
          <w:sz w:val="20"/>
          <w:szCs w:val="20"/>
        </w:rPr>
        <w:t>A LA DGIP</w:t>
      </w:r>
      <w:r w:rsidR="00C328A5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6E5906" w:rsidRPr="00EC7327" w:rsidRDefault="006E5906" w:rsidP="006E5906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EC7327">
        <w:rPr>
          <w:rFonts w:cs="Arial"/>
          <w:color w:val="auto"/>
          <w:sz w:val="20"/>
          <w:szCs w:val="20"/>
          <w:lang w:val="es-PE"/>
        </w:rPr>
        <w:t>Corresponde al Sector del Gobierno Nacional</w:t>
      </w:r>
      <w:r w:rsidR="007532A1">
        <w:rPr>
          <w:rFonts w:cs="Arial"/>
          <w:color w:val="auto"/>
          <w:sz w:val="20"/>
          <w:szCs w:val="20"/>
          <w:lang w:val="es-PE"/>
        </w:rPr>
        <w:t xml:space="preserve">, </w:t>
      </w:r>
      <w:r w:rsidRPr="00EC7327">
        <w:rPr>
          <w:rFonts w:cs="Arial"/>
          <w:color w:val="auto"/>
          <w:sz w:val="20"/>
          <w:szCs w:val="20"/>
          <w:lang w:val="es-PE"/>
        </w:rPr>
        <w:t>Gobierno Regional</w:t>
      </w:r>
      <w:r w:rsidR="007532A1">
        <w:rPr>
          <w:rFonts w:cs="Arial"/>
          <w:color w:val="auto"/>
          <w:sz w:val="20"/>
          <w:szCs w:val="20"/>
          <w:lang w:val="es-PE"/>
        </w:rPr>
        <w:t xml:space="preserve"> o Gobierno Local</w:t>
      </w:r>
      <w:r w:rsidRPr="00EC7327">
        <w:rPr>
          <w:rFonts w:cs="Arial"/>
          <w:color w:val="auto"/>
          <w:sz w:val="20"/>
          <w:szCs w:val="20"/>
          <w:lang w:val="es-PE"/>
        </w:rPr>
        <w:t xml:space="preserve"> presentar a la DGIP, la Ficha Técnica del PIP de Emergencia por peligro inminente:</w:t>
      </w:r>
    </w:p>
    <w:p w:rsidR="007532A1" w:rsidRPr="000321A2" w:rsidRDefault="006E5906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EC7327">
        <w:rPr>
          <w:rFonts w:cs="Arial"/>
          <w:color w:val="auto"/>
          <w:sz w:val="20"/>
          <w:szCs w:val="20"/>
          <w:lang w:val="es-PE"/>
        </w:rPr>
        <w:t>Ejemplo</w:t>
      </w:r>
      <w:r w:rsidRPr="00EC7327">
        <w:rPr>
          <w:rFonts w:cs="Arial"/>
          <w:color w:val="auto"/>
          <w:sz w:val="20"/>
          <w:szCs w:val="20"/>
          <w:lang w:val="es-PE"/>
        </w:rPr>
        <w:tab/>
        <w:t>:</w:t>
      </w:r>
      <w:r w:rsidRPr="00EC7327">
        <w:rPr>
          <w:rFonts w:cs="Arial"/>
          <w:color w:val="auto"/>
          <w:sz w:val="20"/>
          <w:szCs w:val="20"/>
          <w:lang w:val="es-PE"/>
        </w:rPr>
        <w:tab/>
      </w:r>
      <w:r w:rsidR="007532A1" w:rsidRPr="000321A2">
        <w:rPr>
          <w:rFonts w:cs="Arial"/>
          <w:color w:val="auto"/>
          <w:sz w:val="20"/>
          <w:szCs w:val="20"/>
          <w:lang w:val="es-PE"/>
        </w:rPr>
        <w:t>Gobierno Regional de Tumbes,</w:t>
      </w:r>
    </w:p>
    <w:p w:rsidR="007532A1" w:rsidRPr="000321A2" w:rsidRDefault="007532A1" w:rsidP="007532A1">
      <w:pPr>
        <w:pStyle w:val="Default"/>
        <w:ind w:left="2007" w:right="-141" w:firstLine="153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Gobierno Regional de Piura,</w:t>
      </w:r>
    </w:p>
    <w:p w:rsidR="007532A1" w:rsidRPr="000321A2" w:rsidRDefault="007532A1" w:rsidP="007532A1">
      <w:pPr>
        <w:pStyle w:val="Default"/>
        <w:ind w:left="2007" w:right="-141" w:firstLine="153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Ministerio de Agricultura y Riego</w:t>
      </w:r>
    </w:p>
    <w:p w:rsidR="007532A1" w:rsidRDefault="007532A1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ab/>
      </w:r>
      <w:r w:rsidRPr="000321A2">
        <w:rPr>
          <w:rFonts w:cs="Arial"/>
          <w:color w:val="auto"/>
          <w:sz w:val="20"/>
          <w:szCs w:val="20"/>
          <w:lang w:val="es-PE"/>
        </w:rPr>
        <w:tab/>
      </w:r>
      <w:r w:rsidRPr="000321A2">
        <w:rPr>
          <w:rFonts w:cs="Arial"/>
          <w:color w:val="auto"/>
          <w:sz w:val="20"/>
          <w:szCs w:val="20"/>
          <w:lang w:val="es-PE"/>
        </w:rPr>
        <w:tab/>
        <w:t>Ministerio de Transportes</w:t>
      </w:r>
    </w:p>
    <w:p w:rsidR="007532A1" w:rsidRDefault="007532A1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Provincial de Huaraz</w:t>
      </w:r>
    </w:p>
    <w:p w:rsidR="007532A1" w:rsidRDefault="007532A1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Provincial de Tahuamanu</w:t>
      </w:r>
    </w:p>
    <w:p w:rsidR="007532A1" w:rsidRPr="000321A2" w:rsidRDefault="007532A1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Distrital de Ocros</w:t>
      </w:r>
    </w:p>
    <w:p w:rsidR="007532A1" w:rsidRPr="000321A2" w:rsidRDefault="007532A1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Distrital de Aplao</w:t>
      </w:r>
    </w:p>
    <w:p w:rsidR="00511FED" w:rsidRPr="00EC7327" w:rsidRDefault="00511FED" w:rsidP="007532A1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706041" w:rsidRPr="00EC7327" w:rsidRDefault="00706041" w:rsidP="00511FED">
      <w:pPr>
        <w:pStyle w:val="Default"/>
        <w:numPr>
          <w:ilvl w:val="0"/>
          <w:numId w:val="11"/>
        </w:numPr>
        <w:rPr>
          <w:b/>
          <w:sz w:val="20"/>
          <w:szCs w:val="20"/>
          <w:lang w:val="es-PE"/>
        </w:rPr>
      </w:pPr>
      <w:r w:rsidRPr="00EC7327">
        <w:rPr>
          <w:b/>
          <w:sz w:val="20"/>
          <w:szCs w:val="20"/>
          <w:lang w:val="es-PE"/>
        </w:rPr>
        <w:t>UNIDAD EJECUTORA</w:t>
      </w:r>
      <w:r w:rsidR="000808F6" w:rsidRPr="00EC7327">
        <w:rPr>
          <w:b/>
          <w:sz w:val="20"/>
          <w:szCs w:val="20"/>
          <w:lang w:val="es-PE"/>
        </w:rPr>
        <w:t xml:space="preserve"> </w:t>
      </w:r>
      <w:r w:rsidR="000908FA" w:rsidRPr="00EC7327">
        <w:rPr>
          <w:rStyle w:val="Refdenotaalpie"/>
          <w:b/>
          <w:color w:val="FFFFFF"/>
          <w:sz w:val="20"/>
          <w:szCs w:val="20"/>
          <w:lang w:val="es-PE"/>
        </w:rPr>
        <w:footnoteReference w:id="1"/>
      </w:r>
      <w:r w:rsidR="000808F6" w:rsidRPr="00EC7327">
        <w:rPr>
          <w:b/>
          <w:sz w:val="20"/>
          <w:szCs w:val="20"/>
          <w:vertAlign w:val="superscript"/>
          <w:lang w:val="es-PE"/>
        </w:rPr>
        <w:t>(1)</w:t>
      </w:r>
    </w:p>
    <w:p w:rsidR="00511FED" w:rsidRPr="00EC7327" w:rsidRDefault="00511FED" w:rsidP="00511FED">
      <w:pPr>
        <w:pStyle w:val="Default"/>
        <w:ind w:left="567"/>
        <w:rPr>
          <w:b/>
          <w:sz w:val="20"/>
          <w:szCs w:val="20"/>
          <w:lang w:val="es-PE"/>
        </w:rPr>
      </w:pPr>
    </w:p>
    <w:p w:rsidR="00706041" w:rsidRPr="00EC7327" w:rsidRDefault="00706041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2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NOMBRE DE LA UNI</w:t>
      </w:r>
      <w:r w:rsidR="00503408" w:rsidRPr="00EC7327">
        <w:rPr>
          <w:rFonts w:cs="Arial"/>
          <w:sz w:val="20"/>
          <w:szCs w:val="20"/>
        </w:rPr>
        <w:t>DAD EJECUTORA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1A4BE3" w:rsidRPr="00EC7327" w:rsidRDefault="001A4BE3" w:rsidP="001A4BE3">
      <w:pPr>
        <w:pStyle w:val="Default"/>
        <w:ind w:left="567"/>
        <w:jc w:val="both"/>
        <w:rPr>
          <w:sz w:val="20"/>
          <w:szCs w:val="20"/>
          <w:lang w:val="es-PE"/>
        </w:rPr>
      </w:pPr>
      <w:r w:rsidRPr="00EC7327">
        <w:rPr>
          <w:sz w:val="20"/>
          <w:szCs w:val="20"/>
          <w:lang w:val="es-PE"/>
        </w:rPr>
        <w:t>Corresponde a las denominadas como tales en la normatividad presupuestal y que tiene a su cargo la ejecución del Proyecto de Inversión Pública, así como a las Empresas del Sector Público No Financiero que ejecutan Proyectos de Inversión Pública (Numeral 8.3, artículo 8° del Reglamento del Sistema Nacional de Inversión Pública, aprobado por Decreto Supremo N° 102-2007-EF).</w:t>
      </w:r>
    </w:p>
    <w:p w:rsidR="001A4BE3" w:rsidRPr="00EC7327" w:rsidRDefault="001A4BE3" w:rsidP="001A4BE3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F43B79" w:rsidRPr="00EC7327" w:rsidRDefault="001A4BE3" w:rsidP="001A4BE3">
      <w:pPr>
        <w:pStyle w:val="Default"/>
        <w:ind w:left="567"/>
        <w:jc w:val="both"/>
        <w:rPr>
          <w:sz w:val="20"/>
          <w:szCs w:val="20"/>
          <w:lang w:val="es-PE"/>
        </w:rPr>
      </w:pPr>
      <w:r w:rsidRPr="00EC7327">
        <w:rPr>
          <w:sz w:val="20"/>
          <w:szCs w:val="20"/>
          <w:lang w:val="es-PE"/>
        </w:rPr>
        <w:t>(1)A partir del 1 de enero de 2010, la utilización de la modalidad del “Encargo” con fondos públicos a que se refieren los artículos 62 y 63 y disposiciones conexas de la Directiva de Tesorería N° 001-2007-EF/77.15, aprobada por la Resolución Directoral N° 002-2007-EF/77.15, sólo procede para el caso de Unidades Ejecutoras a sus dependencias desconcentradas. Resolución Directoral N° 021-2009-EF/77.15.</w:t>
      </w:r>
    </w:p>
    <w:p w:rsidR="001A4BE3" w:rsidRPr="00EC7327" w:rsidRDefault="001A4BE3" w:rsidP="001A4BE3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F43B79" w:rsidRPr="00EC7327" w:rsidRDefault="00F43B79" w:rsidP="00552114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2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>CÓDIGO DE LA UNIDAD EJECUTORA</w:t>
      </w:r>
    </w:p>
    <w:p w:rsidR="00F43B79" w:rsidRPr="00EC7327" w:rsidRDefault="00F43B79" w:rsidP="00F43B79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F43B79" w:rsidRPr="00EC7327" w:rsidRDefault="00F43B79" w:rsidP="00F43B79">
      <w:pPr>
        <w:pStyle w:val="Default"/>
        <w:ind w:left="567"/>
        <w:jc w:val="both"/>
        <w:rPr>
          <w:sz w:val="20"/>
          <w:szCs w:val="20"/>
          <w:lang w:val="es-PE"/>
        </w:rPr>
      </w:pPr>
      <w:r w:rsidRPr="00EC7327">
        <w:rPr>
          <w:sz w:val="20"/>
          <w:szCs w:val="20"/>
          <w:lang w:val="es-PE"/>
        </w:rPr>
        <w:t>Se debe consignar el código de la ENTIDAD PÚBLICA, que ejecuta el Proyecto de Inversión Pública de emergencia.</w:t>
      </w:r>
    </w:p>
    <w:p w:rsidR="00F43B79" w:rsidRPr="00EC7327" w:rsidRDefault="00F43B79" w:rsidP="000A6532">
      <w:pPr>
        <w:pStyle w:val="Default"/>
        <w:ind w:left="567"/>
        <w:jc w:val="both"/>
        <w:rPr>
          <w:sz w:val="20"/>
          <w:szCs w:val="20"/>
          <w:lang w:val="es-PE"/>
        </w:rPr>
      </w:pPr>
      <w:r w:rsidRPr="00EC7327">
        <w:rPr>
          <w:sz w:val="20"/>
          <w:szCs w:val="20"/>
          <w:lang w:val="es-PE"/>
        </w:rPr>
        <w:t xml:space="preserve">Se recomienda ingresar a la </w:t>
      </w:r>
      <w:r w:rsidR="00FC7CF6" w:rsidRPr="00EC7327">
        <w:rPr>
          <w:sz w:val="20"/>
          <w:szCs w:val="20"/>
          <w:lang w:val="es-PE"/>
        </w:rPr>
        <w:t>consulta SIAF</w:t>
      </w:r>
      <w:r w:rsidRPr="00EC7327">
        <w:rPr>
          <w:sz w:val="20"/>
          <w:szCs w:val="20"/>
          <w:lang w:val="es-PE"/>
        </w:rPr>
        <w:t xml:space="preserve"> amigable, para saber el nombre y código correcto.</w:t>
      </w:r>
    </w:p>
    <w:p w:rsidR="00511FED" w:rsidRPr="00EC7327" w:rsidRDefault="00511FED" w:rsidP="00511FED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503408" w:rsidRPr="00EC7327" w:rsidRDefault="00503408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2"/>
        <w:rPr>
          <w:sz w:val="20"/>
          <w:szCs w:val="20"/>
        </w:rPr>
      </w:pPr>
      <w:r w:rsidRPr="00EC7327">
        <w:rPr>
          <w:sz w:val="20"/>
          <w:szCs w:val="20"/>
        </w:rPr>
        <w:t>SUSTENTO DE LA CAPACIDAD TÉCNICA Y LOGÍSTICA DE LA U</w:t>
      </w:r>
      <w:r w:rsidR="00C37DFB" w:rsidRPr="00EC7327">
        <w:rPr>
          <w:sz w:val="20"/>
          <w:szCs w:val="20"/>
        </w:rPr>
        <w:t xml:space="preserve">NIDAD </w:t>
      </w:r>
      <w:r w:rsidRPr="00EC7327">
        <w:rPr>
          <w:sz w:val="20"/>
          <w:szCs w:val="20"/>
        </w:rPr>
        <w:t>E</w:t>
      </w:r>
      <w:r w:rsidR="00C37DFB" w:rsidRPr="00EC7327">
        <w:rPr>
          <w:sz w:val="20"/>
          <w:szCs w:val="20"/>
        </w:rPr>
        <w:t>JECUTORA</w:t>
      </w:r>
      <w:r w:rsidRPr="00EC7327">
        <w:rPr>
          <w:sz w:val="20"/>
          <w:szCs w:val="20"/>
        </w:rPr>
        <w:t xml:space="preserve"> PARA EJECUTAR EL  PIP DE EMERGENCIA POR </w:t>
      </w:r>
      <w:r w:rsidR="00C86B54" w:rsidRPr="00EC7327">
        <w:rPr>
          <w:sz w:val="20"/>
          <w:szCs w:val="20"/>
        </w:rPr>
        <w:t>PELIGRO INMINENTE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D262D8" w:rsidRPr="00EC7327" w:rsidRDefault="00D262D8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La Entidad Pública que ejecuta el Proyecto de Inversión Pública de emergencia </w:t>
      </w:r>
      <w:r w:rsidR="00E254B5" w:rsidRPr="00EC7327">
        <w:rPr>
          <w:rFonts w:cs="Arial"/>
          <w:sz w:val="20"/>
          <w:szCs w:val="20"/>
        </w:rPr>
        <w:t>por</w:t>
      </w:r>
      <w:r w:rsidRPr="00EC7327">
        <w:rPr>
          <w:rFonts w:cs="Arial"/>
          <w:sz w:val="20"/>
          <w:szCs w:val="20"/>
        </w:rPr>
        <w:t xml:space="preserve">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 xml:space="preserve"> (</w:t>
      </w:r>
      <w:r w:rsidR="00E254B5" w:rsidRPr="00EC7327">
        <w:rPr>
          <w:rFonts w:cs="Arial"/>
          <w:sz w:val="20"/>
          <w:szCs w:val="20"/>
        </w:rPr>
        <w:t xml:space="preserve">Ejecución Presupuestal </w:t>
      </w:r>
      <w:r w:rsidRPr="00EC7327">
        <w:rPr>
          <w:rFonts w:cs="Arial"/>
          <w:sz w:val="20"/>
          <w:szCs w:val="20"/>
        </w:rPr>
        <w:t xml:space="preserve">Directa o Contrata), debe sustentar que se encuentra </w:t>
      </w:r>
      <w:r w:rsidR="00701E62" w:rsidRPr="00EC7327">
        <w:rPr>
          <w:rFonts w:cs="Arial"/>
          <w:sz w:val="20"/>
          <w:szCs w:val="20"/>
        </w:rPr>
        <w:t>habilitada como Unidad Ejecutora, la cual</w:t>
      </w:r>
      <w:r w:rsidR="000908FA" w:rsidRPr="00EC7327">
        <w:rPr>
          <w:rFonts w:cs="Arial"/>
          <w:sz w:val="20"/>
          <w:szCs w:val="20"/>
        </w:rPr>
        <w:t xml:space="preserve">; </w:t>
      </w:r>
      <w:r w:rsidR="00701E62" w:rsidRPr="00EC7327">
        <w:rPr>
          <w:rFonts w:cs="Arial"/>
          <w:sz w:val="20"/>
          <w:szCs w:val="20"/>
        </w:rPr>
        <w:t xml:space="preserve">de preferencia debe estar </w:t>
      </w:r>
      <w:r w:rsidRPr="00EC7327">
        <w:rPr>
          <w:rFonts w:cs="Arial"/>
          <w:sz w:val="20"/>
          <w:szCs w:val="20"/>
        </w:rPr>
        <w:t xml:space="preserve">implementada técnica y logísticamente, debe tener la competencia respectiva y el sustento legal para llevar a cabo la </w:t>
      </w:r>
      <w:r w:rsidR="00701E62" w:rsidRPr="00EC7327">
        <w:rPr>
          <w:rFonts w:cs="Arial"/>
          <w:sz w:val="20"/>
          <w:szCs w:val="20"/>
        </w:rPr>
        <w:t xml:space="preserve">ejecución </w:t>
      </w:r>
      <w:r w:rsidRPr="00EC7327">
        <w:rPr>
          <w:rFonts w:cs="Arial"/>
          <w:sz w:val="20"/>
          <w:szCs w:val="20"/>
        </w:rPr>
        <w:t>del PIP de Emergencia.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D262D8" w:rsidRPr="00EC7327" w:rsidRDefault="00D262D8" w:rsidP="00511FED">
      <w:pPr>
        <w:pStyle w:val="Default"/>
        <w:ind w:left="567"/>
        <w:jc w:val="both"/>
        <w:rPr>
          <w:sz w:val="20"/>
          <w:szCs w:val="20"/>
          <w:lang w:val="es-PE"/>
        </w:rPr>
      </w:pPr>
      <w:r w:rsidRPr="00EC7327">
        <w:rPr>
          <w:sz w:val="20"/>
          <w:szCs w:val="20"/>
          <w:lang w:val="es-PE"/>
        </w:rPr>
        <w:t>Se debe indicar la disponibilidad de profesionales por especialidades, oficinas, personal administrativo, equipamiento de maquinaria pesada, vehículos y equipos de topografía, etc.</w:t>
      </w:r>
    </w:p>
    <w:p w:rsidR="001F763D" w:rsidRPr="00EC7327" w:rsidRDefault="001F763D" w:rsidP="00511FED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FB7B61" w:rsidRPr="00EC7327" w:rsidRDefault="00FB7B61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 xml:space="preserve">UBICACIÓN POLÍTICA DEL PIP DE EMERGENCIA </w:t>
      </w:r>
    </w:p>
    <w:p w:rsidR="00511FED" w:rsidRPr="00EC7327" w:rsidRDefault="00511FED" w:rsidP="00511FED">
      <w:pPr>
        <w:pStyle w:val="Default"/>
        <w:ind w:left="567" w:right="-141"/>
        <w:rPr>
          <w:rFonts w:cs="Arial"/>
          <w:color w:val="auto"/>
          <w:sz w:val="20"/>
          <w:szCs w:val="20"/>
          <w:lang w:val="es-PE"/>
        </w:rPr>
      </w:pPr>
    </w:p>
    <w:p w:rsidR="00FB7B61" w:rsidRPr="00EC7327" w:rsidRDefault="00FB7B61" w:rsidP="00511FED">
      <w:pPr>
        <w:pStyle w:val="Default"/>
        <w:ind w:left="567" w:right="-141"/>
        <w:rPr>
          <w:rFonts w:cs="Arial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  <w:lang w:val="es-PE"/>
        </w:rPr>
        <w:t xml:space="preserve">Indicar el departamento, provincia, distrito y localidad </w:t>
      </w:r>
      <w:r w:rsidR="004B13FD" w:rsidRPr="00EC7327">
        <w:rPr>
          <w:rFonts w:cs="Arial"/>
          <w:sz w:val="20"/>
          <w:szCs w:val="20"/>
          <w:lang w:val="es-PE"/>
        </w:rPr>
        <w:t xml:space="preserve">que corresponde al </w:t>
      </w:r>
      <w:r w:rsidR="00FE7C87" w:rsidRPr="00EC7327">
        <w:rPr>
          <w:rFonts w:cs="Arial"/>
          <w:sz w:val="20"/>
          <w:szCs w:val="20"/>
          <w:lang w:val="es-PE"/>
        </w:rPr>
        <w:t xml:space="preserve">ámbito de influencia del peligro inminente o </w:t>
      </w:r>
      <w:r w:rsidRPr="00EC7327">
        <w:rPr>
          <w:rFonts w:cs="Arial"/>
          <w:sz w:val="20"/>
          <w:szCs w:val="20"/>
          <w:lang w:val="es-PE"/>
        </w:rPr>
        <w:t xml:space="preserve">la infraestructura pública a </w:t>
      </w:r>
      <w:r w:rsidR="00F91450" w:rsidRPr="00EC7327">
        <w:rPr>
          <w:rFonts w:cs="Arial"/>
          <w:sz w:val="20"/>
          <w:szCs w:val="20"/>
          <w:lang w:val="es-PE"/>
        </w:rPr>
        <w:t>intervenir</w:t>
      </w:r>
      <w:r w:rsidRPr="00EC7327">
        <w:rPr>
          <w:rFonts w:cs="Arial"/>
          <w:sz w:val="20"/>
          <w:szCs w:val="20"/>
          <w:lang w:val="es-PE"/>
        </w:rPr>
        <w:t>. Si comprende varias localidades, se deberá señalar el nombre de las mismas.</w:t>
      </w:r>
    </w:p>
    <w:p w:rsidR="00137774" w:rsidRPr="00EC7327" w:rsidRDefault="00137774" w:rsidP="00511FED">
      <w:pPr>
        <w:pStyle w:val="Default"/>
        <w:ind w:left="567" w:right="-141"/>
        <w:rPr>
          <w:rFonts w:cs="Arial"/>
          <w:sz w:val="20"/>
          <w:szCs w:val="20"/>
          <w:lang w:val="es-PE"/>
        </w:rPr>
      </w:pPr>
    </w:p>
    <w:p w:rsidR="00F43B79" w:rsidRPr="00EC7327" w:rsidRDefault="00503408" w:rsidP="00F43B79">
      <w:pPr>
        <w:numPr>
          <w:ilvl w:val="0"/>
          <w:numId w:val="11"/>
        </w:numPr>
        <w:ind w:right="-142"/>
        <w:jc w:val="both"/>
        <w:outlineLvl w:val="1"/>
      </w:pPr>
      <w:r w:rsidRPr="00EC7327">
        <w:rPr>
          <w:rStyle w:val="EstiloArial10ptNegritaNegro"/>
          <w:rFonts w:ascii="Arial Narrow" w:hAnsi="Arial Narrow"/>
          <w:b/>
          <w:bCs/>
        </w:rPr>
        <w:t xml:space="preserve">DESCRIPCIÓN DE LA SITUACIÓN ACTUAL DE LA INFRAESTRUCTURA PÚBLICA A INTERVENIR EN RIESGO DE DESASTRE EN EL ÁMBITO DE OCURRENCIA DEL </w:t>
      </w:r>
      <w:r w:rsidR="00C86B54" w:rsidRPr="00EC7327">
        <w:rPr>
          <w:rStyle w:val="EstiloArial10ptNegritaNegro"/>
          <w:rFonts w:ascii="Arial Narrow" w:hAnsi="Arial Narrow"/>
          <w:b/>
          <w:bCs/>
        </w:rPr>
        <w:t>PELIGRO INMINENTE</w:t>
      </w:r>
      <w:r w:rsidR="000B1EF7" w:rsidRPr="00EC7327">
        <w:rPr>
          <w:rStyle w:val="EstiloArial10ptNegritaNegro"/>
          <w:rFonts w:ascii="Arial Narrow" w:hAnsi="Arial Narrow"/>
          <w:b/>
          <w:bCs/>
        </w:rPr>
        <w:t>.</w:t>
      </w:r>
    </w:p>
    <w:p w:rsidR="00EA5967" w:rsidRPr="00EC7327" w:rsidRDefault="00EA5967" w:rsidP="00511FED">
      <w:pPr>
        <w:pStyle w:val="Prrafodelista"/>
        <w:ind w:left="420" w:right="-142"/>
        <w:jc w:val="both"/>
        <w:outlineLvl w:val="1"/>
        <w:rPr>
          <w:rFonts w:cs="Arial"/>
          <w:color w:val="FFFFFF"/>
          <w:sz w:val="20"/>
          <w:szCs w:val="20"/>
        </w:rPr>
      </w:pPr>
    </w:p>
    <w:p w:rsidR="00B86DEF" w:rsidRPr="00EC7327" w:rsidRDefault="00B86DEF" w:rsidP="00511FED">
      <w:pPr>
        <w:pStyle w:val="Prrafodelista"/>
        <w:ind w:left="420" w:right="-142"/>
        <w:jc w:val="both"/>
        <w:outlineLvl w:val="1"/>
        <w:rPr>
          <w:rFonts w:cs="Arial"/>
          <w:vanish/>
          <w:color w:val="FFFFFF"/>
          <w:sz w:val="20"/>
          <w:szCs w:val="20"/>
        </w:rPr>
      </w:pPr>
    </w:p>
    <w:p w:rsidR="000B1EF7" w:rsidRPr="00EC7327" w:rsidRDefault="000B1EF7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TIPO DE PELIGRO NATURAL INMINENTE CAPAZ DE PRODUCIR EL DESASTRE (Aludes o avalanchas, aluviones, Inundación por </w:t>
      </w:r>
      <w:r w:rsidR="00C37DFB" w:rsidRPr="00EC7327">
        <w:rPr>
          <w:rFonts w:cs="Arial"/>
          <w:sz w:val="20"/>
          <w:szCs w:val="20"/>
        </w:rPr>
        <w:t>Fenómeno El Niño-F</w:t>
      </w:r>
      <w:r w:rsidRPr="00EC7327">
        <w:rPr>
          <w:rFonts w:cs="Arial"/>
          <w:sz w:val="20"/>
          <w:szCs w:val="20"/>
        </w:rPr>
        <w:t>EN, erupci</w:t>
      </w:r>
      <w:r w:rsidR="00C375BE" w:rsidRPr="00EC7327">
        <w:rPr>
          <w:rFonts w:cs="Arial"/>
          <w:sz w:val="20"/>
          <w:szCs w:val="20"/>
        </w:rPr>
        <w:t>ó</w:t>
      </w:r>
      <w:r w:rsidRPr="00EC7327">
        <w:rPr>
          <w:rFonts w:cs="Arial"/>
          <w:sz w:val="20"/>
          <w:szCs w:val="20"/>
        </w:rPr>
        <w:t>n volcánica, etc.).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644FFD" w:rsidRPr="00EC7327" w:rsidRDefault="00FC7CF6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  <w:lang w:val="es-PE"/>
        </w:rPr>
        <w:t>Seleccionar</w:t>
      </w:r>
      <w:r w:rsidR="00853FFA" w:rsidRPr="00EC7327">
        <w:rPr>
          <w:rFonts w:cs="Arial"/>
          <w:sz w:val="20"/>
          <w:szCs w:val="20"/>
          <w:lang w:val="es-PE"/>
        </w:rPr>
        <w:t xml:space="preserve"> </w:t>
      </w:r>
      <w:r w:rsidR="00C37DFB" w:rsidRPr="00EC7327">
        <w:rPr>
          <w:rFonts w:cs="Arial"/>
          <w:sz w:val="20"/>
          <w:szCs w:val="20"/>
          <w:lang w:val="es-PE"/>
        </w:rPr>
        <w:t>e</w:t>
      </w:r>
      <w:r w:rsidR="00644FFD" w:rsidRPr="00EC7327">
        <w:rPr>
          <w:rFonts w:cs="Arial"/>
          <w:sz w:val="20"/>
          <w:szCs w:val="20"/>
          <w:lang w:val="es-PE"/>
        </w:rPr>
        <w:t xml:space="preserve">l tipo de peligro </w:t>
      </w:r>
      <w:r w:rsidR="00FE7C87" w:rsidRPr="00EC7327">
        <w:rPr>
          <w:rFonts w:cs="Arial"/>
          <w:sz w:val="20"/>
          <w:szCs w:val="20"/>
          <w:lang w:val="es-PE"/>
        </w:rPr>
        <w:t xml:space="preserve">inminente </w:t>
      </w:r>
      <w:r w:rsidR="00C375BE" w:rsidRPr="00EC7327">
        <w:rPr>
          <w:rFonts w:cs="Arial"/>
          <w:sz w:val="20"/>
          <w:szCs w:val="20"/>
          <w:lang w:val="es-PE"/>
        </w:rPr>
        <w:t xml:space="preserve">próximo a </w:t>
      </w:r>
      <w:r w:rsidR="00644FFD" w:rsidRPr="00EC7327">
        <w:rPr>
          <w:rFonts w:cs="Arial"/>
          <w:sz w:val="20"/>
          <w:szCs w:val="20"/>
          <w:lang w:val="es-PE"/>
        </w:rPr>
        <w:t>afectar la infraestructura asociada al servicio público</w:t>
      </w:r>
      <w:r w:rsidR="00926B1C" w:rsidRPr="00EC7327">
        <w:rPr>
          <w:rFonts w:cs="Arial"/>
          <w:sz w:val="20"/>
          <w:szCs w:val="20"/>
          <w:lang w:val="es-PE"/>
        </w:rPr>
        <w:t xml:space="preserve"> y desencadenar el desastre</w:t>
      </w:r>
      <w:r w:rsidR="00644FFD" w:rsidRPr="00EC7327">
        <w:rPr>
          <w:rFonts w:cs="Arial"/>
          <w:sz w:val="20"/>
          <w:szCs w:val="20"/>
          <w:lang w:val="es-PE"/>
        </w:rPr>
        <w:t>. En caso de ser varios peligros</w:t>
      </w:r>
      <w:r w:rsidR="00934D74" w:rsidRPr="00EC7327">
        <w:rPr>
          <w:rFonts w:cs="Arial"/>
          <w:sz w:val="20"/>
          <w:szCs w:val="20"/>
          <w:lang w:val="es-PE"/>
        </w:rPr>
        <w:t>,</w:t>
      </w:r>
      <w:r w:rsidR="00644FFD" w:rsidRPr="00EC7327">
        <w:rPr>
          <w:rFonts w:cs="Arial"/>
          <w:sz w:val="20"/>
          <w:szCs w:val="20"/>
          <w:lang w:val="es-PE"/>
        </w:rPr>
        <w:t xml:space="preserve"> se indicara </w:t>
      </w:r>
      <w:r w:rsidR="00934D74" w:rsidRPr="00EC7327">
        <w:rPr>
          <w:rFonts w:cs="Arial"/>
          <w:sz w:val="20"/>
          <w:szCs w:val="20"/>
          <w:lang w:val="es-PE"/>
        </w:rPr>
        <w:t xml:space="preserve">aquel </w:t>
      </w:r>
      <w:r w:rsidR="00644FFD" w:rsidRPr="00EC7327">
        <w:rPr>
          <w:rFonts w:cs="Arial"/>
          <w:sz w:val="20"/>
          <w:szCs w:val="20"/>
          <w:lang w:val="es-PE"/>
        </w:rPr>
        <w:t xml:space="preserve">que genera mayor impacto </w:t>
      </w:r>
      <w:r w:rsidR="00934D74" w:rsidRPr="00EC7327">
        <w:rPr>
          <w:rFonts w:cs="Arial"/>
          <w:sz w:val="20"/>
          <w:szCs w:val="20"/>
          <w:lang w:val="es-PE"/>
        </w:rPr>
        <w:t>y</w:t>
      </w:r>
      <w:r w:rsidR="00644FFD" w:rsidRPr="00EC7327">
        <w:rPr>
          <w:rFonts w:cs="Arial"/>
          <w:sz w:val="20"/>
          <w:szCs w:val="20"/>
          <w:lang w:val="es-PE"/>
        </w:rPr>
        <w:t xml:space="preserve"> daño sobre el servicio</w:t>
      </w:r>
      <w:r w:rsidR="00934D74" w:rsidRPr="00EC7327">
        <w:rPr>
          <w:rFonts w:cs="Arial"/>
          <w:sz w:val="20"/>
          <w:szCs w:val="20"/>
          <w:lang w:val="es-PE"/>
        </w:rPr>
        <w:t xml:space="preserve"> público</w:t>
      </w:r>
      <w:r w:rsidR="00644FFD" w:rsidRPr="00EC7327">
        <w:rPr>
          <w:rFonts w:cs="Arial"/>
          <w:sz w:val="20"/>
          <w:szCs w:val="20"/>
          <w:lang w:val="es-PE"/>
        </w:rPr>
        <w:t xml:space="preserve">. El </w:t>
      </w:r>
      <w:r w:rsidR="00D94EE1" w:rsidRPr="00EC7327">
        <w:rPr>
          <w:rFonts w:cs="Arial"/>
          <w:sz w:val="20"/>
          <w:szCs w:val="20"/>
          <w:lang w:val="es-PE"/>
        </w:rPr>
        <w:t xml:space="preserve">tipo de </w:t>
      </w:r>
      <w:r w:rsidR="00644FFD" w:rsidRPr="00EC7327">
        <w:rPr>
          <w:rFonts w:cs="Arial"/>
          <w:sz w:val="20"/>
          <w:szCs w:val="20"/>
          <w:lang w:val="es-PE"/>
        </w:rPr>
        <w:t>peligro descrito</w:t>
      </w:r>
      <w:r w:rsidR="00926B1C" w:rsidRPr="00EC7327">
        <w:rPr>
          <w:rFonts w:cs="Arial"/>
          <w:sz w:val="20"/>
          <w:szCs w:val="20"/>
          <w:lang w:val="es-PE"/>
        </w:rPr>
        <w:t>,</w:t>
      </w:r>
      <w:r w:rsidR="00644FFD" w:rsidRPr="00EC7327">
        <w:rPr>
          <w:rFonts w:cs="Arial"/>
          <w:sz w:val="20"/>
          <w:szCs w:val="20"/>
          <w:lang w:val="es-PE"/>
        </w:rPr>
        <w:t xml:space="preserve"> debe </w:t>
      </w:r>
      <w:r w:rsidR="00926B1C" w:rsidRPr="00EC7327">
        <w:rPr>
          <w:rFonts w:cs="Arial"/>
          <w:sz w:val="20"/>
          <w:szCs w:val="20"/>
          <w:lang w:val="es-PE"/>
        </w:rPr>
        <w:t>corresponder al</w:t>
      </w:r>
      <w:r w:rsidR="00D94EE1" w:rsidRPr="00EC7327">
        <w:rPr>
          <w:rFonts w:cs="Arial"/>
          <w:sz w:val="20"/>
          <w:szCs w:val="20"/>
          <w:lang w:val="es-PE"/>
        </w:rPr>
        <w:t xml:space="preserve"> mencionado </w:t>
      </w:r>
      <w:r w:rsidR="00926B1C" w:rsidRPr="00EC7327">
        <w:rPr>
          <w:rFonts w:cs="Arial"/>
          <w:sz w:val="20"/>
          <w:szCs w:val="20"/>
          <w:lang w:val="es-PE"/>
        </w:rPr>
        <w:t xml:space="preserve">en </w:t>
      </w:r>
      <w:r w:rsidR="00C37DFB" w:rsidRPr="00EC7327">
        <w:rPr>
          <w:rFonts w:cs="Arial"/>
          <w:sz w:val="20"/>
          <w:szCs w:val="20"/>
          <w:lang w:val="es-PE"/>
        </w:rPr>
        <w:t xml:space="preserve">el informe técnico-científico </w:t>
      </w:r>
      <w:r w:rsidR="00D94EE1" w:rsidRPr="00EC7327">
        <w:rPr>
          <w:rFonts w:cs="Arial"/>
          <w:sz w:val="20"/>
          <w:szCs w:val="20"/>
          <w:lang w:val="es-PE"/>
        </w:rPr>
        <w:t xml:space="preserve">de la entidad pública </w:t>
      </w:r>
      <w:r w:rsidR="00C37DFB" w:rsidRPr="00EC7327">
        <w:rPr>
          <w:rFonts w:cs="Arial"/>
          <w:sz w:val="20"/>
          <w:szCs w:val="20"/>
          <w:lang w:val="es-PE"/>
        </w:rPr>
        <w:t>competente</w:t>
      </w:r>
      <w:r w:rsidR="00926B1C" w:rsidRPr="00EC7327">
        <w:rPr>
          <w:rFonts w:cs="Arial"/>
          <w:sz w:val="20"/>
          <w:szCs w:val="20"/>
          <w:lang w:val="es-PE"/>
        </w:rPr>
        <w:t xml:space="preserve"> o guardar coherencia con ella</w:t>
      </w:r>
      <w:r w:rsidR="00644FFD" w:rsidRPr="00EC7327">
        <w:rPr>
          <w:rFonts w:cs="Arial"/>
          <w:sz w:val="20"/>
          <w:szCs w:val="20"/>
          <w:lang w:val="es-PE"/>
        </w:rPr>
        <w:t>.</w:t>
      </w:r>
    </w:p>
    <w:p w:rsidR="00511FED" w:rsidRPr="00EC7327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B86DEF" w:rsidRPr="00EC7327" w:rsidRDefault="00B86DEF" w:rsidP="00BF7DC3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FECHA DE DECLA</w:t>
      </w:r>
      <w:r w:rsidR="00FC7CF6" w:rsidRPr="00EC7327">
        <w:rPr>
          <w:rFonts w:cs="Arial"/>
          <w:sz w:val="20"/>
          <w:szCs w:val="20"/>
        </w:rPr>
        <w:t xml:space="preserve">RACIÓN DE ESTADO DE EMERGENCIA </w:t>
      </w:r>
      <w:r w:rsidRPr="00EC7327">
        <w:rPr>
          <w:rFonts w:cs="Arial"/>
          <w:sz w:val="20"/>
          <w:szCs w:val="20"/>
        </w:rPr>
        <w:t>POR PELIGRO INMINENTE.</w:t>
      </w:r>
    </w:p>
    <w:p w:rsidR="00B86DEF" w:rsidRPr="00EC7327" w:rsidRDefault="00B86DEF" w:rsidP="00B86DEF">
      <w:pPr>
        <w:pStyle w:val="Default"/>
        <w:rPr>
          <w:lang w:val="es-PE"/>
        </w:rPr>
      </w:pPr>
    </w:p>
    <w:p w:rsidR="00B86DEF" w:rsidRPr="00EC7327" w:rsidRDefault="00B86DEF" w:rsidP="00B86DEF">
      <w:pPr>
        <w:ind w:left="567" w:right="-141"/>
        <w:jc w:val="both"/>
        <w:rPr>
          <w:rFonts w:cs="Arial"/>
          <w:color w:val="000000"/>
          <w:sz w:val="20"/>
          <w:szCs w:val="20"/>
        </w:rPr>
      </w:pPr>
      <w:r w:rsidRPr="00EC7327">
        <w:rPr>
          <w:rFonts w:cs="Arial"/>
          <w:color w:val="000000"/>
          <w:sz w:val="20"/>
          <w:szCs w:val="20"/>
        </w:rPr>
        <w:t>Indicar la norma de la Presidencia del Consejo de Ministros que declara el estado de emergencia (Decreto Supremo), con su correspondiente fecha de publicación.</w:t>
      </w:r>
    </w:p>
    <w:p w:rsidR="00B86DEF" w:rsidRPr="00EC7327" w:rsidRDefault="00B86DEF" w:rsidP="00B86DEF">
      <w:pPr>
        <w:pStyle w:val="Default"/>
        <w:rPr>
          <w:lang w:val="es-PE"/>
        </w:rPr>
      </w:pPr>
    </w:p>
    <w:p w:rsidR="00B86DEF" w:rsidRPr="00EC7327" w:rsidRDefault="00B86DEF" w:rsidP="00B86DEF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ENTIDAD PÚBLICA TÉCNICA-CIENTIFICA COMPETENTE QUE HA EVALUADO EL PELIGRO INMINENTE (Indicar la entidad, el N° de informe técnico científico, y adjuntar Informe).</w:t>
      </w:r>
    </w:p>
    <w:p w:rsidR="00B86DEF" w:rsidRPr="00EC7327" w:rsidRDefault="00B86DEF" w:rsidP="00B86DEF">
      <w:pPr>
        <w:pStyle w:val="Default"/>
        <w:rPr>
          <w:lang w:val="es-PE"/>
        </w:rPr>
      </w:pPr>
    </w:p>
    <w:p w:rsidR="00B86DEF" w:rsidRPr="00EC7327" w:rsidRDefault="00B86DEF" w:rsidP="00B86DEF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Indicar el nombre de la Entidad pública Técnico-Científico competente que ha realizado el Informe y el número de este. El Informe, debe ser específico y definir las probables zonas que serían afectadas, si el peligro inminente se concretizara; asimismo, debe estar debidamente visado y firmado por el funcionario (funcionarios) competentes que el caso amerita.</w:t>
      </w:r>
    </w:p>
    <w:p w:rsidR="00B86DEF" w:rsidRPr="00EC7327" w:rsidRDefault="00B86DEF" w:rsidP="00B86DEF">
      <w:pPr>
        <w:pStyle w:val="Default"/>
        <w:rPr>
          <w:lang w:val="es-PE"/>
        </w:rPr>
      </w:pPr>
    </w:p>
    <w:p w:rsidR="000B1EF7" w:rsidRPr="00EC7327" w:rsidRDefault="000B1EF7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DESCRIPCIÓN Y CARACTERISTICAS (Origen natural, localización, intensidad</w:t>
      </w:r>
      <w:r w:rsidR="000C720F" w:rsidRPr="00EC7327">
        <w:rPr>
          <w:rFonts w:cs="Arial"/>
          <w:sz w:val="20"/>
          <w:szCs w:val="20"/>
        </w:rPr>
        <w:t>, frecuencia</w:t>
      </w:r>
      <w:r w:rsidRPr="00EC7327">
        <w:rPr>
          <w:rFonts w:cs="Arial"/>
          <w:sz w:val="20"/>
          <w:szCs w:val="20"/>
        </w:rPr>
        <w:t>, probabilidad de ocurrencia, magnitud de daño, área de influencia, etc.) DEL PELIGRO NATURAL INMINENTE PRÓXIMO HA DESENCADENAR EL DESASTRE.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853FFA" w:rsidRPr="00EC7327" w:rsidRDefault="00853FF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  <w:lang w:val="es-PE"/>
        </w:rPr>
        <w:t xml:space="preserve">Describir </w:t>
      </w:r>
      <w:r w:rsidR="002B0750" w:rsidRPr="00EC7327">
        <w:rPr>
          <w:rFonts w:cs="Arial"/>
          <w:sz w:val="20"/>
          <w:szCs w:val="20"/>
          <w:lang w:val="es-PE"/>
        </w:rPr>
        <w:t>las características d</w:t>
      </w:r>
      <w:r w:rsidRPr="00EC7327">
        <w:rPr>
          <w:rFonts w:cs="Arial"/>
          <w:sz w:val="20"/>
          <w:szCs w:val="20"/>
          <w:lang w:val="es-PE"/>
        </w:rPr>
        <w:t>e</w:t>
      </w:r>
      <w:r w:rsidR="002B0750" w:rsidRPr="00EC7327">
        <w:rPr>
          <w:rFonts w:cs="Arial"/>
          <w:sz w:val="20"/>
          <w:szCs w:val="20"/>
          <w:lang w:val="es-PE"/>
        </w:rPr>
        <w:t>l</w:t>
      </w:r>
      <w:r w:rsidRPr="00EC7327">
        <w:rPr>
          <w:rFonts w:cs="Arial"/>
          <w:sz w:val="20"/>
          <w:szCs w:val="20"/>
          <w:lang w:val="es-PE"/>
        </w:rPr>
        <w:t xml:space="preserve"> peligro </w:t>
      </w:r>
      <w:r w:rsidR="00C375BE" w:rsidRPr="00EC7327">
        <w:rPr>
          <w:rFonts w:cs="Arial"/>
          <w:sz w:val="20"/>
          <w:szCs w:val="20"/>
          <w:lang w:val="es-PE"/>
        </w:rPr>
        <w:t xml:space="preserve">inminente </w:t>
      </w:r>
      <w:r w:rsidRPr="00EC7327">
        <w:rPr>
          <w:rFonts w:cs="Arial"/>
          <w:sz w:val="20"/>
          <w:szCs w:val="20"/>
          <w:lang w:val="es-PE"/>
        </w:rPr>
        <w:t xml:space="preserve">que </w:t>
      </w:r>
      <w:r w:rsidR="002B0750" w:rsidRPr="00EC7327">
        <w:rPr>
          <w:rFonts w:cs="Arial"/>
          <w:sz w:val="20"/>
          <w:szCs w:val="20"/>
          <w:lang w:val="es-PE"/>
        </w:rPr>
        <w:t xml:space="preserve">está próximo a </w:t>
      </w:r>
      <w:r w:rsidRPr="00EC7327">
        <w:rPr>
          <w:rFonts w:cs="Arial"/>
          <w:sz w:val="20"/>
          <w:szCs w:val="20"/>
          <w:lang w:val="es-PE"/>
        </w:rPr>
        <w:t xml:space="preserve">afectar la infraestructura asociada al servicio </w:t>
      </w:r>
      <w:r w:rsidRPr="00EC7327">
        <w:rPr>
          <w:rFonts w:cs="Arial"/>
          <w:sz w:val="20"/>
          <w:szCs w:val="20"/>
          <w:lang w:val="es-PE"/>
        </w:rPr>
        <w:lastRenderedPageBreak/>
        <w:t>público</w:t>
      </w:r>
      <w:r w:rsidR="002B0750" w:rsidRPr="00EC7327">
        <w:rPr>
          <w:rFonts w:cs="Arial"/>
          <w:sz w:val="20"/>
          <w:szCs w:val="20"/>
          <w:lang w:val="es-PE"/>
        </w:rPr>
        <w:t xml:space="preserve"> y desencadenar el desastre</w:t>
      </w:r>
      <w:r w:rsidR="00D9064A" w:rsidRPr="00EC7327">
        <w:rPr>
          <w:rFonts w:cs="Arial"/>
          <w:sz w:val="20"/>
          <w:szCs w:val="20"/>
          <w:lang w:val="es-PE"/>
        </w:rPr>
        <w:t>, haciendo mención a su origen natural, localización, intensidad, área de influencia y la probable magnitud del daño, así como el costo que este representaría</w:t>
      </w:r>
      <w:r w:rsidRPr="00EC7327">
        <w:rPr>
          <w:rFonts w:cs="Arial"/>
          <w:sz w:val="20"/>
          <w:szCs w:val="20"/>
          <w:lang w:val="es-PE"/>
        </w:rPr>
        <w:t xml:space="preserve">. En caso de ser varios peligros, se indicara aquel que genera mayor impacto y daño sobre el servicio público. El peligro descrito </w:t>
      </w:r>
      <w:r w:rsidR="00D9064A" w:rsidRPr="00EC7327">
        <w:rPr>
          <w:rFonts w:cs="Arial"/>
          <w:sz w:val="20"/>
          <w:szCs w:val="20"/>
          <w:lang w:val="es-PE"/>
        </w:rPr>
        <w:t xml:space="preserve">debe corresponder al mencionado en el informe técnico-científico de la entidad pública competente o guardar coherencia con </w:t>
      </w:r>
      <w:r w:rsidR="00B144F3" w:rsidRPr="00EC7327">
        <w:rPr>
          <w:rFonts w:cs="Arial"/>
          <w:sz w:val="20"/>
          <w:szCs w:val="20"/>
          <w:lang w:val="es-PE"/>
        </w:rPr>
        <w:t>ella.</w:t>
      </w:r>
    </w:p>
    <w:p w:rsidR="00511FED" w:rsidRPr="00EC7327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853FFA" w:rsidRPr="00EC7327" w:rsidRDefault="00853FF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  <w:lang w:val="es-PE"/>
        </w:rPr>
        <w:t xml:space="preserve">Se deberá describir para el área </w:t>
      </w:r>
      <w:r w:rsidR="00D9064A" w:rsidRPr="00EC7327">
        <w:rPr>
          <w:rFonts w:cs="Arial"/>
          <w:sz w:val="20"/>
          <w:szCs w:val="20"/>
          <w:lang w:val="es-PE"/>
        </w:rPr>
        <w:t xml:space="preserve">probable </w:t>
      </w:r>
      <w:r w:rsidRPr="00EC7327">
        <w:rPr>
          <w:rFonts w:cs="Arial"/>
          <w:sz w:val="20"/>
          <w:szCs w:val="20"/>
          <w:lang w:val="es-PE"/>
        </w:rPr>
        <w:t xml:space="preserve">de afectación (localidades </w:t>
      </w:r>
      <w:r w:rsidR="00D9064A" w:rsidRPr="00EC7327">
        <w:rPr>
          <w:rFonts w:cs="Arial"/>
          <w:sz w:val="20"/>
          <w:szCs w:val="20"/>
          <w:lang w:val="es-PE"/>
        </w:rPr>
        <w:t xml:space="preserve">a ser </w:t>
      </w:r>
      <w:r w:rsidRPr="00EC7327">
        <w:rPr>
          <w:rFonts w:cs="Arial"/>
          <w:sz w:val="20"/>
          <w:szCs w:val="20"/>
          <w:lang w:val="es-PE"/>
        </w:rPr>
        <w:t xml:space="preserve">afectadas dentro de un distrito), la frecuencia e intensidad con la que se presentará el </w:t>
      </w:r>
      <w:r w:rsidR="003324DC" w:rsidRPr="00EC7327">
        <w:rPr>
          <w:rFonts w:cs="Arial"/>
          <w:sz w:val="20"/>
          <w:szCs w:val="20"/>
          <w:lang w:val="es-PE"/>
        </w:rPr>
        <w:t>peligro inminente (</w:t>
      </w:r>
      <w:r w:rsidRPr="00EC7327">
        <w:rPr>
          <w:rFonts w:cs="Arial"/>
          <w:sz w:val="20"/>
          <w:szCs w:val="20"/>
          <w:lang w:val="es-PE"/>
        </w:rPr>
        <w:t>evento</w:t>
      </w:r>
      <w:r w:rsidR="003324DC" w:rsidRPr="00EC7327">
        <w:rPr>
          <w:rFonts w:cs="Arial"/>
          <w:sz w:val="20"/>
          <w:szCs w:val="20"/>
          <w:lang w:val="es-PE"/>
        </w:rPr>
        <w:t xml:space="preserve"> a</w:t>
      </w:r>
      <w:r w:rsidR="00643FE8" w:rsidRPr="00EC7327">
        <w:rPr>
          <w:rFonts w:cs="Arial"/>
          <w:sz w:val="20"/>
          <w:szCs w:val="20"/>
          <w:lang w:val="es-PE"/>
        </w:rPr>
        <w:t>nómalo</w:t>
      </w:r>
      <w:r w:rsidR="003324DC" w:rsidRPr="00EC7327">
        <w:rPr>
          <w:rFonts w:cs="Arial"/>
          <w:sz w:val="20"/>
          <w:szCs w:val="20"/>
          <w:lang w:val="es-PE"/>
        </w:rPr>
        <w:t>)</w:t>
      </w:r>
      <w:r w:rsidRPr="00EC7327">
        <w:rPr>
          <w:rFonts w:cs="Arial"/>
          <w:sz w:val="20"/>
          <w:szCs w:val="20"/>
          <w:lang w:val="es-PE"/>
        </w:rPr>
        <w:t>.</w:t>
      </w:r>
    </w:p>
    <w:p w:rsidR="00511FED" w:rsidRPr="00EC7327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313789" w:rsidRPr="00EC7327" w:rsidRDefault="00D9064A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  <w:lang w:val="es-PE"/>
        </w:rPr>
        <w:t>D</w:t>
      </w:r>
      <w:r w:rsidR="00313789" w:rsidRPr="00EC7327">
        <w:rPr>
          <w:rFonts w:cs="Arial"/>
          <w:sz w:val="20"/>
          <w:szCs w:val="20"/>
          <w:lang w:val="es-PE"/>
        </w:rPr>
        <w:t xml:space="preserve">eberá precisarse el número de familias </w:t>
      </w:r>
      <w:r w:rsidRPr="00EC7327">
        <w:rPr>
          <w:rFonts w:cs="Arial"/>
          <w:sz w:val="20"/>
          <w:szCs w:val="20"/>
          <w:lang w:val="es-PE"/>
        </w:rPr>
        <w:t xml:space="preserve">cuyos beneficios se dejaría de percibir, si el peligro inminente, impactara sobre los bienes o servicios públicos en uso. Asimismo, </w:t>
      </w:r>
      <w:r w:rsidR="00F52741" w:rsidRPr="00EC7327">
        <w:rPr>
          <w:rFonts w:cs="Arial"/>
          <w:sz w:val="20"/>
          <w:szCs w:val="20"/>
          <w:lang w:val="es-PE"/>
        </w:rPr>
        <w:t>indicar cuál es el tiempo probable que el servicio estará interrumpido por impacto del peligro inminente</w:t>
      </w:r>
      <w:r w:rsidR="00313789" w:rsidRPr="00EC7327">
        <w:rPr>
          <w:rFonts w:cs="Arial"/>
          <w:sz w:val="20"/>
          <w:szCs w:val="20"/>
          <w:lang w:val="es-PE"/>
        </w:rPr>
        <w:t>.</w:t>
      </w:r>
    </w:p>
    <w:p w:rsidR="00511FED" w:rsidRPr="00EC7327" w:rsidRDefault="00511FED" w:rsidP="00511FED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B86DEF" w:rsidRDefault="00B86DEF" w:rsidP="00B86DEF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COORDENAS UTM DE UBICACIÓN DE LA INFRAESTRUCTURA PÚBLICA EN RIESGO DE DESASTRE POR EL PELIGRO INMINENTE.</w:t>
      </w:r>
    </w:p>
    <w:p w:rsidR="000A6532" w:rsidRPr="000A6532" w:rsidRDefault="000A6532" w:rsidP="000A6532">
      <w:pPr>
        <w:pStyle w:val="Default"/>
        <w:rPr>
          <w:lang w:val="es-PE"/>
        </w:rPr>
      </w:pPr>
    </w:p>
    <w:p w:rsidR="00B86DEF" w:rsidRPr="00EC7327" w:rsidRDefault="00B86DEF" w:rsidP="00B86DEF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Haciendo uso del equipo Posicionamiento Global (GPS), se debe registrar las coordenadas UTM (Este, Norte) y Cota (msnm) de la ubicación de cada infraestructura pública a ser posiblemente afectada, empleando el sistema de proyección WGS 84.</w:t>
      </w:r>
    </w:p>
    <w:p w:rsidR="00B86DEF" w:rsidRPr="00EC7327" w:rsidRDefault="00B86DEF" w:rsidP="00B86DEF">
      <w:pPr>
        <w:ind w:left="567" w:right="-142"/>
        <w:jc w:val="both"/>
        <w:outlineLvl w:val="1"/>
        <w:rPr>
          <w:rFonts w:cs="Arial"/>
          <w:sz w:val="20"/>
          <w:szCs w:val="20"/>
        </w:rPr>
      </w:pPr>
    </w:p>
    <w:p w:rsidR="00BE44CC" w:rsidRPr="00EC7327" w:rsidRDefault="00BE44CC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DESCRIPCIÓN ACTUAL DE LA SITUACIÓN OPERATIVA Y CARACTERISTICAS (físicas, geométricas, estructurales, hidráulicas, </w:t>
      </w:r>
      <w:r w:rsidR="00F10654" w:rsidRPr="00EC7327">
        <w:rPr>
          <w:rFonts w:cs="Arial"/>
          <w:sz w:val="20"/>
          <w:szCs w:val="20"/>
        </w:rPr>
        <w:t>etc.,</w:t>
      </w:r>
      <w:r w:rsidRPr="00EC7327">
        <w:rPr>
          <w:rFonts w:cs="Arial"/>
          <w:sz w:val="20"/>
          <w:szCs w:val="20"/>
        </w:rPr>
        <w:t xml:space="preserve"> según corresponda) DE LA INFRAESTRUCTURA PÚBLICA EN RIESGO DE DESASTRE POR </w:t>
      </w:r>
      <w:r w:rsidR="00CF5D65" w:rsidRPr="00EC7327">
        <w:rPr>
          <w:rFonts w:cs="Arial"/>
          <w:sz w:val="20"/>
          <w:szCs w:val="20"/>
        </w:rPr>
        <w:t xml:space="preserve">EL </w:t>
      </w:r>
      <w:r w:rsidRPr="00EC7327">
        <w:rPr>
          <w:rFonts w:cs="Arial"/>
          <w:sz w:val="20"/>
          <w:szCs w:val="20"/>
        </w:rPr>
        <w:t xml:space="preserve">IMPACTO DEL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58298D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color w:val="000000"/>
          <w:sz w:val="20"/>
          <w:szCs w:val="20"/>
        </w:rPr>
        <w:t>Describir la situación o</w:t>
      </w:r>
      <w:r w:rsidR="001F28CF" w:rsidRPr="00EC7327">
        <w:rPr>
          <w:rFonts w:cs="Arial"/>
          <w:color w:val="000000"/>
          <w:sz w:val="20"/>
          <w:szCs w:val="20"/>
        </w:rPr>
        <w:t>per</w:t>
      </w:r>
      <w:r w:rsidRPr="00EC7327">
        <w:rPr>
          <w:rFonts w:cs="Arial"/>
          <w:color w:val="000000"/>
          <w:sz w:val="20"/>
          <w:szCs w:val="20"/>
        </w:rPr>
        <w:t>ativa</w:t>
      </w:r>
      <w:r w:rsidR="00B03939" w:rsidRPr="00EC7327">
        <w:rPr>
          <w:rFonts w:cs="Arial"/>
          <w:color w:val="000000"/>
          <w:sz w:val="20"/>
          <w:szCs w:val="20"/>
        </w:rPr>
        <w:t xml:space="preserve"> y</w:t>
      </w:r>
      <w:r w:rsidRPr="00EC7327">
        <w:rPr>
          <w:rFonts w:cs="Arial"/>
          <w:sz w:val="20"/>
          <w:szCs w:val="20"/>
        </w:rPr>
        <w:t xml:space="preserve"> características</w:t>
      </w:r>
      <w:r w:rsidR="001F28CF" w:rsidRPr="00EC7327">
        <w:rPr>
          <w:rFonts w:cs="Arial"/>
          <w:sz w:val="20"/>
          <w:szCs w:val="20"/>
        </w:rPr>
        <w:t xml:space="preserve"> </w:t>
      </w:r>
      <w:r w:rsidR="008D20A2" w:rsidRPr="00EC7327">
        <w:rPr>
          <w:rFonts w:cs="Arial"/>
          <w:sz w:val="20"/>
          <w:szCs w:val="20"/>
        </w:rPr>
        <w:t>de la infraestructura</w:t>
      </w:r>
      <w:r w:rsidR="00BE44CC" w:rsidRPr="00EC7327">
        <w:rPr>
          <w:rFonts w:cs="Arial"/>
          <w:sz w:val="20"/>
          <w:szCs w:val="20"/>
        </w:rPr>
        <w:t xml:space="preserve"> pública </w:t>
      </w:r>
      <w:r w:rsidR="009E34F6" w:rsidRPr="00EC7327">
        <w:rPr>
          <w:rFonts w:cs="Arial"/>
          <w:sz w:val="20"/>
          <w:szCs w:val="20"/>
        </w:rPr>
        <w:t xml:space="preserve">en riesgo </w:t>
      </w:r>
      <w:r w:rsidR="00D060A4" w:rsidRPr="00EC7327">
        <w:rPr>
          <w:rFonts w:cs="Arial"/>
          <w:sz w:val="20"/>
          <w:szCs w:val="20"/>
        </w:rPr>
        <w:t>de</w:t>
      </w:r>
      <w:r w:rsidR="00AB2A43" w:rsidRPr="00EC7327">
        <w:rPr>
          <w:rFonts w:cs="Arial"/>
          <w:sz w:val="20"/>
          <w:szCs w:val="20"/>
        </w:rPr>
        <w:t xml:space="preserve"> desastre</w:t>
      </w:r>
      <w:r w:rsidR="00313789" w:rsidRPr="00EC7327">
        <w:rPr>
          <w:rFonts w:cs="Arial"/>
          <w:sz w:val="20"/>
          <w:szCs w:val="20"/>
        </w:rPr>
        <w:t>.</w:t>
      </w:r>
      <w:r w:rsidR="00D060A4" w:rsidRPr="00EC7327">
        <w:rPr>
          <w:rFonts w:cs="Arial"/>
          <w:sz w:val="20"/>
          <w:szCs w:val="20"/>
        </w:rPr>
        <w:t xml:space="preserve"> Describir como </w:t>
      </w:r>
      <w:r w:rsidR="00B03939" w:rsidRPr="00EC7327">
        <w:rPr>
          <w:rFonts w:cs="Arial"/>
          <w:sz w:val="20"/>
          <w:szCs w:val="20"/>
        </w:rPr>
        <w:t xml:space="preserve">la infraestructura pública en riesgo de desastre </w:t>
      </w:r>
      <w:r w:rsidR="00D060A4" w:rsidRPr="00EC7327">
        <w:rPr>
          <w:rFonts w:cs="Arial"/>
          <w:sz w:val="20"/>
          <w:szCs w:val="20"/>
        </w:rPr>
        <w:t>viene prestando el servicio,</w:t>
      </w:r>
      <w:r w:rsidR="000D0D84" w:rsidRPr="00EC7327">
        <w:rPr>
          <w:rFonts w:cs="Arial"/>
          <w:sz w:val="20"/>
          <w:szCs w:val="20"/>
        </w:rPr>
        <w:t xml:space="preserve"> año de construcción,</w:t>
      </w:r>
      <w:r w:rsidR="00D060A4" w:rsidRPr="00EC7327">
        <w:rPr>
          <w:rFonts w:cs="Arial"/>
          <w:sz w:val="20"/>
          <w:szCs w:val="20"/>
        </w:rPr>
        <w:t xml:space="preserve"> </w:t>
      </w:r>
      <w:r w:rsidR="005B5060" w:rsidRPr="00EC7327">
        <w:rPr>
          <w:rFonts w:cs="Arial"/>
          <w:sz w:val="20"/>
          <w:szCs w:val="20"/>
        </w:rPr>
        <w:t xml:space="preserve">la calidad de ella, las características de los materiales que la componen, sus dimensiones y </w:t>
      </w:r>
      <w:r w:rsidR="008D20A2" w:rsidRPr="00EC7327">
        <w:rPr>
          <w:rFonts w:cs="Arial"/>
          <w:sz w:val="20"/>
          <w:szCs w:val="20"/>
        </w:rPr>
        <w:t>las</w:t>
      </w:r>
      <w:r w:rsidR="005B5060" w:rsidRPr="00EC7327">
        <w:rPr>
          <w:rFonts w:cs="Arial"/>
          <w:sz w:val="20"/>
          <w:szCs w:val="20"/>
        </w:rPr>
        <w:t xml:space="preserve"> características estructurales</w:t>
      </w:r>
      <w:r w:rsidR="0088481E" w:rsidRPr="00EC7327">
        <w:rPr>
          <w:rFonts w:cs="Arial"/>
          <w:sz w:val="20"/>
          <w:szCs w:val="20"/>
        </w:rPr>
        <w:t xml:space="preserve"> </w:t>
      </w:r>
      <w:r w:rsidR="00B03939" w:rsidRPr="00EC7327">
        <w:rPr>
          <w:rFonts w:cs="Arial"/>
          <w:sz w:val="20"/>
          <w:szCs w:val="20"/>
        </w:rPr>
        <w:t>como</w:t>
      </w:r>
      <w:r w:rsidR="00434CA5" w:rsidRPr="00EC7327">
        <w:rPr>
          <w:rFonts w:cs="Arial"/>
          <w:sz w:val="20"/>
          <w:szCs w:val="20"/>
        </w:rPr>
        <w:t xml:space="preserve"> </w:t>
      </w:r>
      <w:r w:rsidR="0088481E" w:rsidRPr="00EC7327">
        <w:rPr>
          <w:rFonts w:cs="Arial"/>
          <w:sz w:val="20"/>
          <w:szCs w:val="20"/>
        </w:rPr>
        <w:t>columnas, vigas, muros</w:t>
      </w:r>
      <w:r w:rsidR="00434CA5" w:rsidRPr="00EC7327">
        <w:rPr>
          <w:rFonts w:cs="Arial"/>
          <w:sz w:val="20"/>
          <w:szCs w:val="20"/>
        </w:rPr>
        <w:t xml:space="preserve">, pilares, estribos, </w:t>
      </w:r>
      <w:r w:rsidR="007F6D68" w:rsidRPr="00EC7327">
        <w:rPr>
          <w:rFonts w:cs="Arial"/>
          <w:sz w:val="20"/>
          <w:szCs w:val="20"/>
        </w:rPr>
        <w:t xml:space="preserve">según sea el caso, </w:t>
      </w:r>
      <w:r w:rsidR="00434CA5" w:rsidRPr="00EC7327">
        <w:rPr>
          <w:rFonts w:cs="Arial"/>
          <w:sz w:val="20"/>
          <w:szCs w:val="20"/>
        </w:rPr>
        <w:t>etc</w:t>
      </w:r>
      <w:r w:rsidR="005B5060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BE44CC" w:rsidRPr="00EC7327" w:rsidRDefault="00BE44CC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DESCRIPCIÓN DE LOS NIVELES DE EXPOSICIÓN Y VULNERABILIDAD DE TODA LA INFRAESTRUCTURA PÚBLICA EN RIESGO DE DESASTRE POR IMPACTO DEL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 xml:space="preserve"> (describir y evidenciar el nivel de vulnerabilidad por fragilidad y resiliencia de la infraestructura pública ante el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>).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571F93" w:rsidRPr="00EC7327" w:rsidRDefault="009D3E31" w:rsidP="00511FED">
      <w:pPr>
        <w:ind w:left="567" w:right="-141"/>
        <w:jc w:val="both"/>
        <w:rPr>
          <w:rFonts w:cs="Arial"/>
          <w:color w:val="000000"/>
          <w:sz w:val="20"/>
          <w:szCs w:val="20"/>
        </w:rPr>
      </w:pPr>
      <w:r w:rsidRPr="00EC7327">
        <w:rPr>
          <w:rFonts w:cs="Arial"/>
          <w:color w:val="000000"/>
          <w:sz w:val="20"/>
          <w:szCs w:val="20"/>
        </w:rPr>
        <w:t>Describir l</w:t>
      </w:r>
      <w:r w:rsidR="005F5455" w:rsidRPr="00EC7327">
        <w:rPr>
          <w:rFonts w:cs="Arial"/>
          <w:color w:val="000000"/>
          <w:sz w:val="20"/>
          <w:szCs w:val="20"/>
        </w:rPr>
        <w:t xml:space="preserve">os niveles de </w:t>
      </w:r>
      <w:r w:rsidR="00B03939" w:rsidRPr="00EC7327">
        <w:rPr>
          <w:rFonts w:cs="Arial"/>
          <w:color w:val="000000"/>
          <w:sz w:val="20"/>
          <w:szCs w:val="20"/>
        </w:rPr>
        <w:t xml:space="preserve">exposición </w:t>
      </w:r>
      <w:r w:rsidR="000102ED" w:rsidRPr="00EC7327">
        <w:rPr>
          <w:rFonts w:cs="Arial"/>
          <w:color w:val="000000"/>
          <w:sz w:val="20"/>
          <w:szCs w:val="20"/>
        </w:rPr>
        <w:t xml:space="preserve">referidas a la </w:t>
      </w:r>
      <w:r w:rsidR="002D7C54" w:rsidRPr="00EC7327">
        <w:rPr>
          <w:rFonts w:cs="Arial"/>
          <w:color w:val="000000"/>
          <w:sz w:val="20"/>
          <w:szCs w:val="20"/>
        </w:rPr>
        <w:t xml:space="preserve">localización </w:t>
      </w:r>
      <w:r w:rsidR="00B03939" w:rsidRPr="00EC7327">
        <w:rPr>
          <w:rFonts w:cs="Arial"/>
          <w:color w:val="000000"/>
          <w:sz w:val="20"/>
          <w:szCs w:val="20"/>
        </w:rPr>
        <w:t>que presenta la infraestructura pública</w:t>
      </w:r>
      <w:r w:rsidR="000102ED" w:rsidRPr="00EC7327">
        <w:rPr>
          <w:rFonts w:cs="Arial"/>
          <w:color w:val="000000"/>
          <w:sz w:val="20"/>
          <w:szCs w:val="20"/>
        </w:rPr>
        <w:t xml:space="preserve">, frente al peligro inminente, haciendo énfasis si esta es alta, media o baja. La </w:t>
      </w:r>
      <w:r w:rsidR="00FF1311" w:rsidRPr="00EC7327">
        <w:rPr>
          <w:rFonts w:cs="Arial"/>
          <w:color w:val="000000"/>
          <w:sz w:val="20"/>
          <w:szCs w:val="20"/>
        </w:rPr>
        <w:t xml:space="preserve">vulnerabilidad </w:t>
      </w:r>
      <w:r w:rsidR="000102ED" w:rsidRPr="00EC7327">
        <w:rPr>
          <w:rFonts w:cs="Arial"/>
          <w:color w:val="000000"/>
          <w:sz w:val="20"/>
          <w:szCs w:val="20"/>
        </w:rPr>
        <w:t xml:space="preserve">de la infraestructura pública en peligro inminente, está referida a los niveles de fragilidad </w:t>
      </w:r>
      <w:r w:rsidR="00B90944" w:rsidRPr="00EC7327">
        <w:rPr>
          <w:rFonts w:cs="Arial"/>
          <w:color w:val="000000"/>
          <w:sz w:val="20"/>
          <w:szCs w:val="20"/>
        </w:rPr>
        <w:t>(resistencia frente al peligro inminente</w:t>
      </w:r>
      <w:r w:rsidR="001835E5" w:rsidRPr="00EC7327">
        <w:rPr>
          <w:rFonts w:cs="Arial"/>
          <w:color w:val="000000"/>
          <w:sz w:val="20"/>
          <w:szCs w:val="20"/>
        </w:rPr>
        <w:t xml:space="preserve"> y, </w:t>
      </w:r>
      <w:r w:rsidR="00B90944" w:rsidRPr="00EC7327">
        <w:rPr>
          <w:rFonts w:cs="Arial"/>
          <w:color w:val="000000"/>
          <w:sz w:val="20"/>
          <w:szCs w:val="20"/>
        </w:rPr>
        <w:t xml:space="preserve">está en función al diseño y los materiales empleados en la construcción) y resiliencia que es la capacidad de recuperación o asimilación </w:t>
      </w:r>
      <w:r w:rsidR="001835E5" w:rsidRPr="00EC7327">
        <w:rPr>
          <w:rFonts w:cs="Arial"/>
          <w:color w:val="000000"/>
          <w:sz w:val="20"/>
          <w:szCs w:val="20"/>
        </w:rPr>
        <w:t xml:space="preserve">que tendría </w:t>
      </w:r>
      <w:r w:rsidR="00B90944" w:rsidRPr="00EC7327">
        <w:rPr>
          <w:rFonts w:cs="Arial"/>
          <w:color w:val="000000"/>
          <w:sz w:val="20"/>
          <w:szCs w:val="20"/>
        </w:rPr>
        <w:t xml:space="preserve">la infraestructura pública frente al </w:t>
      </w:r>
      <w:r w:rsidR="000C720F" w:rsidRPr="00EC7327">
        <w:rPr>
          <w:rFonts w:cs="Arial"/>
          <w:color w:val="000000"/>
          <w:sz w:val="20"/>
          <w:szCs w:val="20"/>
        </w:rPr>
        <w:t>desastre por</w:t>
      </w:r>
      <w:r w:rsidR="006D6764" w:rsidRPr="00EC7327">
        <w:rPr>
          <w:rFonts w:cs="Arial"/>
          <w:color w:val="000000"/>
          <w:sz w:val="20"/>
          <w:szCs w:val="20"/>
        </w:rPr>
        <w:t xml:space="preserve"> ocurrir.</w:t>
      </w:r>
    </w:p>
    <w:p w:rsidR="00571F93" w:rsidRPr="00EC7327" w:rsidRDefault="00571F93" w:rsidP="00511FED">
      <w:pPr>
        <w:pStyle w:val="Default"/>
        <w:ind w:left="567" w:right="-143"/>
        <w:jc w:val="both"/>
        <w:rPr>
          <w:rFonts w:cs="Arial"/>
          <w:sz w:val="20"/>
          <w:szCs w:val="20"/>
          <w:lang w:val="es-PE"/>
        </w:rPr>
      </w:pPr>
      <w:r w:rsidRPr="00EC7327">
        <w:rPr>
          <w:rFonts w:cs="Arial"/>
          <w:sz w:val="20"/>
          <w:szCs w:val="20"/>
          <w:lang w:val="es-PE"/>
        </w:rPr>
        <w:t>Para calificar el impacto del desastre en la infraestructura, a manera de ejemplo, se podrá hacer uso de la siguiente tabla:</w:t>
      </w:r>
    </w:p>
    <w:p w:rsidR="00F43B79" w:rsidRPr="00EC7327" w:rsidRDefault="00F43B79" w:rsidP="00511FED">
      <w:pPr>
        <w:pStyle w:val="Default"/>
        <w:ind w:left="567" w:right="-143"/>
        <w:jc w:val="both"/>
        <w:rPr>
          <w:rFonts w:cs="Arial"/>
          <w:sz w:val="20"/>
          <w:szCs w:val="20"/>
          <w:lang w:val="es-PE"/>
        </w:rPr>
      </w:pPr>
    </w:p>
    <w:tbl>
      <w:tblPr>
        <w:tblW w:w="76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1561"/>
        <w:gridCol w:w="1574"/>
        <w:gridCol w:w="1728"/>
      </w:tblGrid>
      <w:tr w:rsidR="00571F93" w:rsidRPr="00EC7327" w:rsidTr="00EC4F7B">
        <w:tc>
          <w:tcPr>
            <w:tcW w:w="2833" w:type="dxa"/>
            <w:shd w:val="clear" w:color="auto" w:fill="FBD4B4"/>
            <w:vAlign w:val="center"/>
          </w:tcPr>
          <w:p w:rsidR="00571F93" w:rsidRPr="00EC7327" w:rsidRDefault="00571F93" w:rsidP="00511FED">
            <w:pPr>
              <w:pStyle w:val="Default"/>
              <w:ind w:right="-142"/>
              <w:jc w:val="center"/>
              <w:rPr>
                <w:rFonts w:cs="Arial"/>
                <w:b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Componentes</w:t>
            </w:r>
          </w:p>
        </w:tc>
        <w:tc>
          <w:tcPr>
            <w:tcW w:w="1561" w:type="dxa"/>
            <w:shd w:val="clear" w:color="auto" w:fill="FBD4B4"/>
            <w:vAlign w:val="center"/>
          </w:tcPr>
          <w:p w:rsidR="00571F93" w:rsidRPr="00EC7327" w:rsidRDefault="00571F93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Exposición</w:t>
            </w: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br/>
            </w:r>
            <w:r w:rsidRPr="00EC7327">
              <w:rPr>
                <w:rFonts w:cs="Arial"/>
                <w:b/>
                <w:color w:val="auto"/>
                <w:sz w:val="18"/>
                <w:szCs w:val="18"/>
                <w:lang w:val="es-PE"/>
              </w:rPr>
              <w:t>Alta/Media/Baja</w:t>
            </w:r>
          </w:p>
        </w:tc>
        <w:tc>
          <w:tcPr>
            <w:tcW w:w="1574" w:type="dxa"/>
            <w:shd w:val="clear" w:color="auto" w:fill="FBD4B4"/>
            <w:vAlign w:val="center"/>
          </w:tcPr>
          <w:p w:rsidR="00571F93" w:rsidRPr="00EC7327" w:rsidRDefault="00571F93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Fragilidad</w:t>
            </w: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br/>
            </w:r>
            <w:r w:rsidRPr="00EC7327">
              <w:rPr>
                <w:rFonts w:cs="Arial"/>
                <w:b/>
                <w:color w:val="auto"/>
                <w:sz w:val="18"/>
                <w:szCs w:val="18"/>
                <w:lang w:val="es-PE"/>
              </w:rPr>
              <w:t>Alta/Media/Baja</w:t>
            </w:r>
          </w:p>
        </w:tc>
        <w:tc>
          <w:tcPr>
            <w:tcW w:w="1728" w:type="dxa"/>
            <w:shd w:val="clear" w:color="auto" w:fill="FBD4B4"/>
            <w:vAlign w:val="center"/>
          </w:tcPr>
          <w:p w:rsidR="00571F93" w:rsidRPr="00EC7327" w:rsidRDefault="00571F93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Vulnerable</w:t>
            </w:r>
          </w:p>
          <w:p w:rsidR="00571F93" w:rsidRPr="00EC7327" w:rsidRDefault="00571F93" w:rsidP="00511FED">
            <w:pPr>
              <w:pStyle w:val="Default"/>
              <w:ind w:right="-142"/>
              <w:jc w:val="center"/>
              <w:rPr>
                <w:rFonts w:cs="Arial"/>
                <w:b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b/>
                <w:color w:val="auto"/>
                <w:sz w:val="18"/>
                <w:szCs w:val="18"/>
                <w:lang w:val="es-PE"/>
              </w:rPr>
              <w:t>Alta/Media/Baja</w:t>
            </w:r>
          </w:p>
        </w:tc>
      </w:tr>
      <w:tr w:rsidR="00571F93" w:rsidRPr="00EC7327" w:rsidTr="00044511">
        <w:tc>
          <w:tcPr>
            <w:tcW w:w="2833" w:type="dxa"/>
          </w:tcPr>
          <w:p w:rsidR="00571F93" w:rsidRPr="00EC7327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Tubería de aducción </w:t>
            </w:r>
          </w:p>
        </w:tc>
        <w:tc>
          <w:tcPr>
            <w:tcW w:w="1561" w:type="dxa"/>
            <w:vAlign w:val="center"/>
          </w:tcPr>
          <w:p w:rsidR="00571F93" w:rsidRPr="00EC7327" w:rsidRDefault="00571F93" w:rsidP="00F26835">
            <w:pPr>
              <w:pStyle w:val="Default"/>
              <w:ind w:right="29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Alta</w:t>
            </w:r>
          </w:p>
        </w:tc>
        <w:tc>
          <w:tcPr>
            <w:tcW w:w="1574" w:type="dxa"/>
            <w:vAlign w:val="center"/>
          </w:tcPr>
          <w:p w:rsidR="00571F93" w:rsidRPr="00EC7327" w:rsidRDefault="00571F93" w:rsidP="00F26835">
            <w:pPr>
              <w:pStyle w:val="Default"/>
              <w:ind w:right="29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728" w:type="dxa"/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Media</w:t>
            </w:r>
          </w:p>
        </w:tc>
      </w:tr>
      <w:tr w:rsidR="00571F93" w:rsidRPr="00EC7327" w:rsidTr="00044511">
        <w:tc>
          <w:tcPr>
            <w:tcW w:w="2833" w:type="dxa"/>
          </w:tcPr>
          <w:p w:rsidR="00571F93" w:rsidRPr="00EC7327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Estación de bombeo</w:t>
            </w:r>
          </w:p>
        </w:tc>
        <w:tc>
          <w:tcPr>
            <w:tcW w:w="1561" w:type="dxa"/>
            <w:vAlign w:val="center"/>
          </w:tcPr>
          <w:p w:rsidR="00571F93" w:rsidRPr="00EC7327" w:rsidRDefault="00571F93" w:rsidP="00F26835">
            <w:pPr>
              <w:pStyle w:val="Default"/>
              <w:ind w:right="29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574" w:type="dxa"/>
            <w:vAlign w:val="center"/>
          </w:tcPr>
          <w:p w:rsidR="00571F93" w:rsidRPr="00EC7327" w:rsidRDefault="00571F93" w:rsidP="00F26835">
            <w:pPr>
              <w:pStyle w:val="Default"/>
              <w:ind w:right="29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728" w:type="dxa"/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Baja</w:t>
            </w:r>
          </w:p>
        </w:tc>
      </w:tr>
      <w:tr w:rsidR="00571F93" w:rsidRPr="00EC7327" w:rsidTr="00044511">
        <w:tc>
          <w:tcPr>
            <w:tcW w:w="2833" w:type="dxa"/>
          </w:tcPr>
          <w:p w:rsidR="00571F93" w:rsidRPr="00EC7327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Línea de conducción</w:t>
            </w:r>
          </w:p>
        </w:tc>
        <w:tc>
          <w:tcPr>
            <w:tcW w:w="1561" w:type="dxa"/>
            <w:vAlign w:val="center"/>
          </w:tcPr>
          <w:p w:rsidR="00571F93" w:rsidRPr="00EC7327" w:rsidRDefault="00571F93" w:rsidP="00F26835">
            <w:pPr>
              <w:pStyle w:val="Default"/>
              <w:ind w:right="34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574" w:type="dxa"/>
            <w:vAlign w:val="center"/>
          </w:tcPr>
          <w:p w:rsidR="00571F93" w:rsidRPr="00EC7327" w:rsidRDefault="00571F93" w:rsidP="00F26835">
            <w:pPr>
              <w:pStyle w:val="Default"/>
              <w:ind w:right="34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728" w:type="dxa"/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Baja</w:t>
            </w:r>
          </w:p>
        </w:tc>
      </w:tr>
      <w:tr w:rsidR="00571F93" w:rsidRPr="00EC7327" w:rsidTr="00044511">
        <w:tc>
          <w:tcPr>
            <w:tcW w:w="2833" w:type="dxa"/>
          </w:tcPr>
          <w:p w:rsidR="00571F93" w:rsidRPr="00EC7327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Línea de distribución</w:t>
            </w:r>
          </w:p>
        </w:tc>
        <w:tc>
          <w:tcPr>
            <w:tcW w:w="1561" w:type="dxa"/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574" w:type="dxa"/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  <w:tc>
          <w:tcPr>
            <w:tcW w:w="1728" w:type="dxa"/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Baja</w:t>
            </w:r>
          </w:p>
        </w:tc>
      </w:tr>
      <w:tr w:rsidR="00571F93" w:rsidRPr="00EC7327" w:rsidTr="00044511">
        <w:tc>
          <w:tcPr>
            <w:tcW w:w="2833" w:type="dxa"/>
          </w:tcPr>
          <w:p w:rsidR="00571F93" w:rsidRPr="00EC7327" w:rsidRDefault="00571F93" w:rsidP="00511FED">
            <w:pPr>
              <w:pStyle w:val="Default"/>
              <w:numPr>
                <w:ilvl w:val="0"/>
                <w:numId w:val="24"/>
              </w:numPr>
              <w:ind w:left="176" w:right="175" w:hanging="219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Muros de contención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Alta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Media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571F93" w:rsidRPr="00EC7327" w:rsidRDefault="00571F93" w:rsidP="00F26835">
            <w:pPr>
              <w:pStyle w:val="Default"/>
              <w:ind w:right="-142"/>
              <w:jc w:val="center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Media</w:t>
            </w:r>
          </w:p>
        </w:tc>
      </w:tr>
    </w:tbl>
    <w:p w:rsidR="009D3E31" w:rsidRPr="00EC7327" w:rsidRDefault="009D3E31" w:rsidP="00511FED">
      <w:pPr>
        <w:ind w:left="567" w:right="-141"/>
        <w:jc w:val="both"/>
        <w:rPr>
          <w:rFonts w:cs="Arial"/>
          <w:color w:val="000000"/>
          <w:sz w:val="20"/>
          <w:szCs w:val="20"/>
        </w:rPr>
      </w:pPr>
    </w:p>
    <w:p w:rsidR="00AB0C8E" w:rsidRPr="00EC7327" w:rsidRDefault="00AB0C8E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DESCRIPCIÓN Y VALORACIÓN ECONOMICA DE LOS PROBABLES DAÑOS FISICOS EN TODA LA INFRAESTRUCTURA PÚBLICA DE PRODUCI</w:t>
      </w:r>
      <w:r w:rsidR="00F462D0" w:rsidRPr="00EC7327">
        <w:rPr>
          <w:rFonts w:cs="Arial"/>
          <w:sz w:val="20"/>
          <w:szCs w:val="20"/>
        </w:rPr>
        <w:t>R</w:t>
      </w:r>
      <w:r w:rsidRPr="00EC7327">
        <w:rPr>
          <w:rFonts w:cs="Arial"/>
          <w:sz w:val="20"/>
          <w:szCs w:val="20"/>
        </w:rPr>
        <w:t>SE EL DESASTRE (</w:t>
      </w:r>
      <w:r w:rsidR="00CF5D65" w:rsidRPr="00EC7327">
        <w:rPr>
          <w:rFonts w:cs="Arial"/>
          <w:sz w:val="20"/>
          <w:szCs w:val="20"/>
        </w:rPr>
        <w:t>D</w:t>
      </w:r>
      <w:r w:rsidRPr="00EC7327">
        <w:rPr>
          <w:rFonts w:cs="Arial"/>
          <w:sz w:val="20"/>
          <w:szCs w:val="20"/>
        </w:rPr>
        <w:t>escribir cada bien público en riesgo de ser dañado que deberá ser cuantificado como unidad física, definiendo el costo actual</w:t>
      </w:r>
      <w:r w:rsidR="00F462D0" w:rsidRPr="00EC7327">
        <w:rPr>
          <w:rFonts w:cs="Arial"/>
          <w:sz w:val="20"/>
          <w:szCs w:val="20"/>
        </w:rPr>
        <w:t xml:space="preserve"> en soles</w:t>
      </w:r>
      <w:r w:rsidRPr="00EC7327">
        <w:rPr>
          <w:rFonts w:cs="Arial"/>
          <w:sz w:val="20"/>
          <w:szCs w:val="20"/>
        </w:rPr>
        <w:t xml:space="preserve"> que representa cada unidad física dañada).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FD673C" w:rsidRPr="000A6532" w:rsidRDefault="009D3E31" w:rsidP="000A6532">
      <w:pPr>
        <w:ind w:left="567" w:right="-141"/>
        <w:jc w:val="both"/>
        <w:rPr>
          <w:rFonts w:cs="Arial"/>
          <w:color w:val="000000"/>
          <w:sz w:val="20"/>
          <w:szCs w:val="20"/>
        </w:rPr>
      </w:pPr>
      <w:r w:rsidRPr="00EC7327">
        <w:rPr>
          <w:rFonts w:cs="Arial"/>
          <w:color w:val="000000"/>
          <w:sz w:val="20"/>
          <w:szCs w:val="20"/>
        </w:rPr>
        <w:t xml:space="preserve">Describir </w:t>
      </w:r>
      <w:r w:rsidR="002564BD" w:rsidRPr="00EC7327">
        <w:rPr>
          <w:rFonts w:cs="Arial"/>
          <w:color w:val="000000"/>
          <w:sz w:val="20"/>
          <w:szCs w:val="20"/>
        </w:rPr>
        <w:t>los probables daños en la infraestructura pública si ocurriese el desastre e impactara sobre éste. Se deberá hacer una valoración económica (costos de los probables daños) de cada bien público probablemente a afectarse.</w:t>
      </w:r>
    </w:p>
    <w:p w:rsidR="00FD673C" w:rsidRPr="00EC7327" w:rsidRDefault="00FD673C" w:rsidP="00511FED">
      <w:pPr>
        <w:pStyle w:val="Default"/>
        <w:ind w:left="567" w:right="-141"/>
        <w:rPr>
          <w:rFonts w:cs="Arial"/>
          <w:color w:val="auto"/>
          <w:sz w:val="20"/>
          <w:szCs w:val="20"/>
          <w:lang w:val="es-PE"/>
        </w:rPr>
      </w:pPr>
      <w:r w:rsidRPr="00EC7327">
        <w:rPr>
          <w:rFonts w:cs="Arial"/>
          <w:color w:val="auto"/>
          <w:sz w:val="20"/>
          <w:szCs w:val="20"/>
          <w:lang w:val="es-PE"/>
        </w:rPr>
        <w:t>Por ejemplo: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1418"/>
        <w:gridCol w:w="2268"/>
      </w:tblGrid>
      <w:tr w:rsidR="00FD673C" w:rsidRPr="00EC7327" w:rsidTr="00EC4F7B">
        <w:tc>
          <w:tcPr>
            <w:tcW w:w="4961" w:type="dxa"/>
            <w:shd w:val="clear" w:color="auto" w:fill="FBD4B4"/>
            <w:vAlign w:val="center"/>
          </w:tcPr>
          <w:p w:rsidR="00FD673C" w:rsidRPr="00EC7327" w:rsidRDefault="00FD673C" w:rsidP="00511FED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Descripción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FD673C" w:rsidRPr="00EC7327" w:rsidRDefault="00FD673C" w:rsidP="00511FED">
            <w:pPr>
              <w:pStyle w:val="Default"/>
              <w:ind w:right="-142"/>
              <w:jc w:val="center"/>
              <w:rPr>
                <w:rStyle w:val="EstiloArial10ptNegritaNegro"/>
                <w:rFonts w:ascii="Arial Narrow" w:hAnsi="Arial Narrow"/>
                <w:b/>
                <w:bCs/>
                <w:sz w:val="18"/>
                <w:szCs w:val="18"/>
                <w:lang w:val="es-PE"/>
              </w:rPr>
            </w:pPr>
            <w:r w:rsidRPr="00EC7327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Monto</w:t>
            </w:r>
          </w:p>
          <w:p w:rsidR="00FD673C" w:rsidRPr="00EC7327" w:rsidRDefault="00FD673C" w:rsidP="00FC7CF6">
            <w:pPr>
              <w:pStyle w:val="Default"/>
              <w:ind w:right="-142"/>
              <w:jc w:val="center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Style w:val="EstiloArial10ptNegritaNegro"/>
                <w:rFonts w:ascii="Arial Narrow" w:hAnsi="Arial Narrow"/>
                <w:b/>
                <w:bCs/>
                <w:sz w:val="18"/>
                <w:szCs w:val="18"/>
                <w:lang w:val="es-PE"/>
              </w:rPr>
              <w:t>(</w:t>
            </w:r>
            <w:r w:rsidRPr="00EC7327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Soles</w:t>
            </w:r>
            <w:r w:rsidRPr="00EC7327">
              <w:rPr>
                <w:rStyle w:val="EstiloArial10ptNegritaNegro"/>
                <w:rFonts w:ascii="Arial Narrow" w:hAnsi="Arial Narrow"/>
                <w:b/>
                <w:bCs/>
                <w:sz w:val="18"/>
                <w:szCs w:val="18"/>
                <w:lang w:val="es-PE"/>
              </w:rPr>
              <w:t>)</w:t>
            </w:r>
          </w:p>
        </w:tc>
        <w:tc>
          <w:tcPr>
            <w:tcW w:w="2268" w:type="dxa"/>
            <w:shd w:val="clear" w:color="auto" w:fill="FBD4B4"/>
            <w:vAlign w:val="center"/>
          </w:tcPr>
          <w:p w:rsidR="00FD673C" w:rsidRPr="00EC7327" w:rsidRDefault="00FD673C" w:rsidP="00511FED">
            <w:pPr>
              <w:pStyle w:val="Default"/>
              <w:ind w:left="-112" w:right="-142"/>
              <w:jc w:val="center"/>
              <w:rPr>
                <w:rFonts w:cs="Arial"/>
                <w:b/>
                <w:bCs/>
                <w:caps/>
                <w:sz w:val="18"/>
                <w:szCs w:val="18"/>
                <w:lang w:val="es-PE"/>
              </w:rPr>
            </w:pPr>
            <w:r w:rsidRPr="00EC7327">
              <w:rPr>
                <w:rStyle w:val="EstiloArial10ptNegritaNegro"/>
                <w:rFonts w:ascii="Arial Narrow" w:hAnsi="Arial Narrow"/>
                <w:b/>
                <w:bCs/>
                <w:caps w:val="0"/>
                <w:sz w:val="18"/>
                <w:szCs w:val="18"/>
                <w:lang w:val="es-PE"/>
              </w:rPr>
              <w:t>Observación</w:t>
            </w:r>
          </w:p>
        </w:tc>
      </w:tr>
      <w:tr w:rsidR="00FD673C" w:rsidRPr="00EC7327" w:rsidTr="0033098D">
        <w:tc>
          <w:tcPr>
            <w:tcW w:w="4961" w:type="dxa"/>
          </w:tcPr>
          <w:p w:rsidR="00FD673C" w:rsidRPr="00EC7327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1,000 ml de tubería </w:t>
            </w:r>
            <w:r w:rsidR="00313789" w:rsidRPr="00EC7327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de </w:t>
            </w: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aducción </w:t>
            </w:r>
            <w:r w:rsidRPr="00EC7327">
              <w:rPr>
                <w:rFonts w:cs="Arial"/>
                <w:sz w:val="18"/>
                <w:szCs w:val="18"/>
                <w:lang w:val="es-PE"/>
              </w:rPr>
              <w:t xml:space="preserve">PVC-UF ISO 4422 A-10, diámetro </w:t>
            </w:r>
            <w:smartTag w:uri="urn:schemas-microsoft-com:office:smarttags" w:element="metricconverter">
              <w:smartTagPr>
                <w:attr w:name="ProductID" w:val="315 mm"/>
              </w:smartTagPr>
              <w:r w:rsidRPr="00EC7327">
                <w:rPr>
                  <w:rFonts w:cs="Arial"/>
                  <w:sz w:val="18"/>
                  <w:szCs w:val="18"/>
                  <w:lang w:val="es-PE"/>
                </w:rPr>
                <w:t>315 mm</w:t>
              </w:r>
            </w:smartTag>
          </w:p>
        </w:tc>
        <w:tc>
          <w:tcPr>
            <w:tcW w:w="1418" w:type="dxa"/>
            <w:vAlign w:val="center"/>
          </w:tcPr>
          <w:p w:rsidR="00FD673C" w:rsidRPr="00EC7327" w:rsidRDefault="00FD673C" w:rsidP="000D6B4E">
            <w:pPr>
              <w:pStyle w:val="Default"/>
              <w:ind w:right="34"/>
              <w:jc w:val="right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20,000</w:t>
            </w:r>
          </w:p>
        </w:tc>
        <w:tc>
          <w:tcPr>
            <w:tcW w:w="2268" w:type="dxa"/>
          </w:tcPr>
          <w:p w:rsidR="00FD673C" w:rsidRPr="00EC7327" w:rsidRDefault="00FF0011" w:rsidP="00511FED">
            <w:pPr>
              <w:pStyle w:val="Default"/>
              <w:ind w:right="29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Afectación p</w:t>
            </w:r>
            <w:r w:rsidR="00240E27" w:rsidRPr="00EC7327">
              <w:rPr>
                <w:rFonts w:cs="Arial"/>
                <w:sz w:val="18"/>
                <w:szCs w:val="18"/>
                <w:lang w:val="es-PE"/>
              </w:rPr>
              <w:t>robable</w:t>
            </w:r>
            <w:r w:rsidRPr="00EC7327">
              <w:rPr>
                <w:rFonts w:cs="Arial"/>
                <w:sz w:val="18"/>
                <w:szCs w:val="18"/>
                <w:lang w:val="es-PE"/>
              </w:rPr>
              <w:t xml:space="preserve"> de</w:t>
            </w:r>
            <w:r w:rsidR="000D0BE1" w:rsidRPr="00EC7327">
              <w:rPr>
                <w:rFonts w:cs="Arial"/>
                <w:sz w:val="18"/>
                <w:szCs w:val="18"/>
                <w:lang w:val="es-PE"/>
              </w:rPr>
              <w:t xml:space="preserve"> 1000 ml</w:t>
            </w:r>
          </w:p>
        </w:tc>
      </w:tr>
      <w:tr w:rsidR="00FD673C" w:rsidRPr="00EC7327" w:rsidTr="0033098D">
        <w:tc>
          <w:tcPr>
            <w:tcW w:w="4961" w:type="dxa"/>
          </w:tcPr>
          <w:p w:rsidR="00FD673C" w:rsidRPr="00EC7327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01 estación de bombeo (caseta de bombeo, caja de llav</w:t>
            </w:r>
            <w:r w:rsidR="007D55A4"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es, bomba de impulsión de 20 HP, 315mm.</w:t>
            </w: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D673C" w:rsidRPr="00EC7327" w:rsidRDefault="00FD673C" w:rsidP="000D6B4E">
            <w:pPr>
              <w:pStyle w:val="Default"/>
              <w:ind w:right="34"/>
              <w:jc w:val="right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color w:val="auto"/>
                <w:sz w:val="18"/>
                <w:szCs w:val="18"/>
                <w:lang w:val="es-PE"/>
              </w:rPr>
              <w:t>40,000</w:t>
            </w:r>
          </w:p>
        </w:tc>
        <w:tc>
          <w:tcPr>
            <w:tcW w:w="2268" w:type="dxa"/>
          </w:tcPr>
          <w:p w:rsidR="00FD673C" w:rsidRPr="00EC7327" w:rsidRDefault="000D0BE1" w:rsidP="00511FED">
            <w:pPr>
              <w:pStyle w:val="Default"/>
              <w:ind w:right="29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Afectación probable en su totalidad</w:t>
            </w:r>
          </w:p>
        </w:tc>
      </w:tr>
      <w:tr w:rsidR="00FD673C" w:rsidRPr="00EC7327" w:rsidTr="0033098D">
        <w:tc>
          <w:tcPr>
            <w:tcW w:w="4961" w:type="dxa"/>
          </w:tcPr>
          <w:p w:rsidR="00FD673C" w:rsidRPr="00EC7327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lastRenderedPageBreak/>
              <w:t xml:space="preserve">2,000 ml de línea de conducción de agua potable con tubería PVC-UF ISO 4422 A-7.5, diámetro </w:t>
            </w:r>
            <w:smartTag w:uri="urn:schemas-microsoft-com:office:smarttags" w:element="metricconverter">
              <w:smartTagPr>
                <w:attr w:name="ProductID" w:val="315 mm"/>
              </w:smartTagPr>
              <w:r w:rsidRPr="00EC7327">
                <w:rPr>
                  <w:rFonts w:cs="Arial"/>
                  <w:sz w:val="18"/>
                  <w:szCs w:val="18"/>
                  <w:lang w:val="es-PE"/>
                </w:rPr>
                <w:t>315 mm</w:t>
              </w:r>
            </w:smartTag>
            <w:r w:rsidRPr="00EC7327">
              <w:rPr>
                <w:rFonts w:cs="Arial"/>
                <w:sz w:val="18"/>
                <w:szCs w:val="18"/>
                <w:lang w:val="es-PE"/>
              </w:rPr>
              <w:t xml:space="preserve">, capacidad de conducción 45 lps; dañada por el sismo del 15 de agosto de 2007. </w:t>
            </w:r>
          </w:p>
        </w:tc>
        <w:tc>
          <w:tcPr>
            <w:tcW w:w="1418" w:type="dxa"/>
            <w:vAlign w:val="center"/>
          </w:tcPr>
          <w:p w:rsidR="00FD673C" w:rsidRPr="00EC7327" w:rsidRDefault="00FD673C" w:rsidP="000D6B4E">
            <w:pPr>
              <w:pStyle w:val="Default"/>
              <w:ind w:right="34"/>
              <w:jc w:val="right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115,000</w:t>
            </w:r>
          </w:p>
        </w:tc>
        <w:tc>
          <w:tcPr>
            <w:tcW w:w="2268" w:type="dxa"/>
          </w:tcPr>
          <w:p w:rsidR="00FD673C" w:rsidRPr="00EC7327" w:rsidRDefault="000D0BE1" w:rsidP="00511FED">
            <w:pPr>
              <w:pStyle w:val="Default"/>
              <w:ind w:right="34"/>
              <w:jc w:val="both"/>
              <w:rPr>
                <w:rFonts w:cs="Arial"/>
                <w:color w:val="auto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Afectación probable en su totalidad</w:t>
            </w:r>
          </w:p>
        </w:tc>
      </w:tr>
      <w:tr w:rsidR="00FD673C" w:rsidRPr="00EC7327" w:rsidTr="0033098D">
        <w:tc>
          <w:tcPr>
            <w:tcW w:w="4961" w:type="dxa"/>
          </w:tcPr>
          <w:p w:rsidR="00FD673C" w:rsidRPr="00EC7327" w:rsidRDefault="00FD673C" w:rsidP="00511FED">
            <w:pPr>
              <w:pStyle w:val="Default"/>
              <w:numPr>
                <w:ilvl w:val="0"/>
                <w:numId w:val="24"/>
              </w:numPr>
              <w:ind w:left="317" w:right="175"/>
              <w:jc w:val="both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 xml:space="preserve">3,000 muros de contención de base variable, con ancho de corona de 30 cm  </w:t>
            </w:r>
          </w:p>
        </w:tc>
        <w:tc>
          <w:tcPr>
            <w:tcW w:w="1418" w:type="dxa"/>
            <w:vAlign w:val="center"/>
          </w:tcPr>
          <w:p w:rsidR="00FD673C" w:rsidRPr="00EC7327" w:rsidRDefault="00FD673C" w:rsidP="000D6B4E">
            <w:pPr>
              <w:pStyle w:val="Default"/>
              <w:ind w:right="34"/>
              <w:jc w:val="right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300,000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673C" w:rsidRPr="00EC7327" w:rsidRDefault="00FF0011" w:rsidP="00511FED">
            <w:pPr>
              <w:pStyle w:val="Default"/>
              <w:ind w:right="-142"/>
              <w:rPr>
                <w:rFonts w:cs="Arial"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sz w:val="18"/>
                <w:szCs w:val="18"/>
                <w:lang w:val="es-PE"/>
              </w:rPr>
              <w:t>Afectación probable en su totalidad</w:t>
            </w:r>
          </w:p>
        </w:tc>
      </w:tr>
      <w:tr w:rsidR="00FD673C" w:rsidRPr="00EC7327" w:rsidTr="00EF0371">
        <w:tc>
          <w:tcPr>
            <w:tcW w:w="4961" w:type="dxa"/>
          </w:tcPr>
          <w:p w:rsidR="00FD673C" w:rsidRPr="00EC7327" w:rsidRDefault="00FD673C" w:rsidP="00511FED">
            <w:pPr>
              <w:pStyle w:val="Default"/>
              <w:ind w:left="317" w:right="175"/>
              <w:jc w:val="both"/>
              <w:rPr>
                <w:rFonts w:cs="Arial"/>
                <w:b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b/>
                <w:sz w:val="18"/>
                <w:szCs w:val="18"/>
                <w:lang w:val="es-PE"/>
              </w:rPr>
              <w:t>Valorización Total</w:t>
            </w:r>
          </w:p>
        </w:tc>
        <w:tc>
          <w:tcPr>
            <w:tcW w:w="1418" w:type="dxa"/>
          </w:tcPr>
          <w:p w:rsidR="00FD673C" w:rsidRPr="00EC7327" w:rsidRDefault="00FF0011" w:rsidP="000D6B4E">
            <w:pPr>
              <w:pStyle w:val="Default"/>
              <w:ind w:right="34"/>
              <w:jc w:val="center"/>
              <w:rPr>
                <w:rFonts w:cs="Arial"/>
                <w:b/>
                <w:sz w:val="18"/>
                <w:szCs w:val="18"/>
                <w:lang w:val="es-PE"/>
              </w:rPr>
            </w:pPr>
            <w:r w:rsidRPr="00EC7327">
              <w:rPr>
                <w:rFonts w:cs="Arial"/>
                <w:b/>
                <w:sz w:val="18"/>
                <w:szCs w:val="18"/>
                <w:lang w:val="es-PE"/>
              </w:rPr>
              <w:t>47</w:t>
            </w:r>
            <w:r w:rsidR="00FD673C" w:rsidRPr="00EC7327">
              <w:rPr>
                <w:rFonts w:cs="Arial"/>
                <w:b/>
                <w:sz w:val="18"/>
                <w:szCs w:val="18"/>
                <w:lang w:val="es-PE"/>
              </w:rPr>
              <w:t>5,000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FD673C" w:rsidRPr="00EC7327" w:rsidRDefault="00FD673C" w:rsidP="00511FED">
            <w:pPr>
              <w:pStyle w:val="Default"/>
              <w:ind w:right="-142"/>
              <w:rPr>
                <w:rFonts w:cs="Arial"/>
                <w:sz w:val="18"/>
                <w:szCs w:val="18"/>
                <w:lang w:val="es-PE"/>
              </w:rPr>
            </w:pPr>
          </w:p>
        </w:tc>
      </w:tr>
    </w:tbl>
    <w:p w:rsidR="00511FED" w:rsidRPr="00EC7327" w:rsidRDefault="00511FED" w:rsidP="00511FED">
      <w:pPr>
        <w:pStyle w:val="Default"/>
        <w:rPr>
          <w:lang w:val="es-PE"/>
        </w:rPr>
      </w:pPr>
    </w:p>
    <w:p w:rsidR="003B231A" w:rsidRPr="00EC7327" w:rsidRDefault="003B231A" w:rsidP="00511FED">
      <w:pPr>
        <w:numPr>
          <w:ilvl w:val="1"/>
          <w:numId w:val="27"/>
        </w:numPr>
        <w:ind w:left="567" w:right="-142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RELACIÓN CAUSA-EFECTO ENTRE EL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 xml:space="preserve"> Y LOS PROBABLES DAÑOS EN LA INFRAESTRUCTURA PÚBLICA</w:t>
      </w:r>
      <w:r w:rsidR="00AF676D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F676D" w:rsidRPr="00EC7327" w:rsidRDefault="00AF676D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sz w:val="20"/>
          <w:szCs w:val="20"/>
        </w:rPr>
        <w:t>Justificación Técnica:</w:t>
      </w:r>
      <w:r w:rsidR="00C80B1B" w:rsidRPr="00EC7327">
        <w:rPr>
          <w:sz w:val="20"/>
          <w:szCs w:val="20"/>
        </w:rPr>
        <w:t xml:space="preserve"> D</w:t>
      </w:r>
      <w:r w:rsidRPr="00EC7327">
        <w:rPr>
          <w:rFonts w:cs="Arial"/>
          <w:sz w:val="20"/>
          <w:szCs w:val="20"/>
        </w:rPr>
        <w:t xml:space="preserve">escribir la relación que existe entre el </w:t>
      </w:r>
      <w:r w:rsidR="00C86B54" w:rsidRPr="00EC7327">
        <w:rPr>
          <w:rFonts w:cs="Arial"/>
          <w:sz w:val="20"/>
          <w:szCs w:val="20"/>
        </w:rPr>
        <w:t>Peligro Inminente</w:t>
      </w:r>
      <w:r w:rsidRPr="00EC7327">
        <w:rPr>
          <w:rFonts w:cs="Arial"/>
          <w:sz w:val="20"/>
          <w:szCs w:val="20"/>
        </w:rPr>
        <w:t xml:space="preserve"> </w:t>
      </w:r>
      <w:r w:rsidR="00FF2926" w:rsidRPr="00EC7327">
        <w:rPr>
          <w:rFonts w:cs="Arial"/>
          <w:sz w:val="20"/>
          <w:szCs w:val="20"/>
        </w:rPr>
        <w:t>por</w:t>
      </w:r>
      <w:r w:rsidRPr="00EC7327">
        <w:rPr>
          <w:rFonts w:cs="Arial"/>
          <w:sz w:val="20"/>
          <w:szCs w:val="20"/>
        </w:rPr>
        <w:t xml:space="preserve"> ocurrir y los daños que se ocasionarían en la infraestructura pública, describir el servicio interrumpido. No incluir daños que no correspondan a los ocasionados por el desastre.</w:t>
      </w:r>
    </w:p>
    <w:p w:rsidR="00AF676D" w:rsidRPr="00EC7327" w:rsidRDefault="00AF676D" w:rsidP="00511FED">
      <w:pPr>
        <w:pStyle w:val="Default"/>
        <w:rPr>
          <w:lang w:val="es-PE"/>
        </w:rPr>
      </w:pPr>
    </w:p>
    <w:p w:rsidR="00AF676D" w:rsidRPr="00EC7327" w:rsidRDefault="00AF676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EC7327">
        <w:rPr>
          <w:rFonts w:cs="Arial"/>
          <w:color w:val="auto"/>
          <w:sz w:val="20"/>
          <w:szCs w:val="20"/>
          <w:lang w:val="es-PE"/>
        </w:rPr>
        <w:t xml:space="preserve">Por ejemplo: </w:t>
      </w:r>
    </w:p>
    <w:tbl>
      <w:tblPr>
        <w:tblW w:w="921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AF676D" w:rsidRPr="00EC7327" w:rsidTr="00EC4F7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:rsidR="00AF676D" w:rsidRPr="00EC7327" w:rsidRDefault="00AF676D" w:rsidP="00511FED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20"/>
                <w:szCs w:val="20"/>
              </w:rPr>
            </w:pPr>
            <w:r w:rsidRPr="00EC7327">
              <w:rPr>
                <w:rFonts w:cs="Arial"/>
                <w:sz w:val="20"/>
                <w:szCs w:val="20"/>
              </w:rPr>
              <w:t>EFECTOS PRO</w:t>
            </w:r>
            <w:r w:rsidR="00FF2926" w:rsidRPr="00EC7327">
              <w:rPr>
                <w:rFonts w:cs="Arial"/>
                <w:sz w:val="20"/>
                <w:szCs w:val="20"/>
              </w:rPr>
              <w:t xml:space="preserve">BABLES </w:t>
            </w:r>
            <w:r w:rsidRPr="00EC7327">
              <w:rPr>
                <w:rFonts w:cs="Arial"/>
                <w:sz w:val="20"/>
                <w:szCs w:val="20"/>
              </w:rPr>
              <w:t>(Daños</w:t>
            </w:r>
            <w:r w:rsidR="00FF2926" w:rsidRPr="00EC7327">
              <w:rPr>
                <w:rFonts w:cs="Arial"/>
                <w:sz w:val="20"/>
                <w:szCs w:val="20"/>
              </w:rPr>
              <w:t xml:space="preserve"> por ocurrir</w:t>
            </w:r>
            <w:r w:rsidRPr="00EC732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  <w:hideMark/>
          </w:tcPr>
          <w:p w:rsidR="00AF676D" w:rsidRPr="00EC7327" w:rsidRDefault="00AF676D" w:rsidP="00511FED">
            <w:pPr>
              <w:widowControl/>
              <w:autoSpaceDE/>
              <w:autoSpaceDN/>
              <w:adjustRightInd/>
              <w:jc w:val="center"/>
              <w:rPr>
                <w:rFonts w:cs="Arial"/>
                <w:sz w:val="20"/>
                <w:szCs w:val="20"/>
              </w:rPr>
            </w:pPr>
            <w:r w:rsidRPr="00EC7327">
              <w:rPr>
                <w:rFonts w:cs="Arial"/>
                <w:sz w:val="20"/>
                <w:szCs w:val="20"/>
              </w:rPr>
              <w:t xml:space="preserve">CAUSAS </w:t>
            </w:r>
            <w:r w:rsidR="00FF2926" w:rsidRPr="00EC7327">
              <w:rPr>
                <w:rFonts w:cs="Arial"/>
                <w:sz w:val="20"/>
                <w:szCs w:val="20"/>
              </w:rPr>
              <w:t>PROBABLES POR OCURRIR</w:t>
            </w:r>
          </w:p>
        </w:tc>
      </w:tr>
      <w:tr w:rsidR="00AF676D" w:rsidRPr="00EC7327" w:rsidTr="00EF0371">
        <w:trPr>
          <w:trHeight w:val="300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76D" w:rsidRPr="00EC7327" w:rsidRDefault="00581F68" w:rsidP="007073D9">
            <w:pPr>
              <w:widowControl/>
              <w:autoSpaceDE/>
              <w:autoSpaceDN/>
              <w:adjustRightInd/>
              <w:jc w:val="both"/>
              <w:rPr>
                <w:rFonts w:cs="Arial"/>
                <w:sz w:val="20"/>
                <w:szCs w:val="20"/>
              </w:rPr>
            </w:pPr>
            <w:r w:rsidRPr="00EC7327">
              <w:rPr>
                <w:sz w:val="20"/>
                <w:szCs w:val="20"/>
              </w:rPr>
              <w:t xml:space="preserve">Colapso de </w:t>
            </w:r>
            <w:r w:rsidR="00FF2926" w:rsidRPr="00EC7327">
              <w:rPr>
                <w:sz w:val="20"/>
                <w:szCs w:val="20"/>
              </w:rPr>
              <w:t>500 ml tubería p</w:t>
            </w:r>
            <w:r w:rsidRPr="00EC7327">
              <w:rPr>
                <w:sz w:val="20"/>
                <w:szCs w:val="20"/>
              </w:rPr>
              <w:t xml:space="preserve">rincipal </w:t>
            </w:r>
            <w:r w:rsidR="00AF676D" w:rsidRPr="00EC7327">
              <w:rPr>
                <w:sz w:val="20"/>
                <w:szCs w:val="20"/>
              </w:rPr>
              <w:t xml:space="preserve"> de conducción de agua potable</w:t>
            </w:r>
            <w:r w:rsidR="007073D9" w:rsidRPr="00EC7327">
              <w:rPr>
                <w:sz w:val="20"/>
                <w:szCs w:val="20"/>
              </w:rPr>
              <w:t xml:space="preserve">, población beneficiaria sin abasteciendo de agua potable por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76D" w:rsidRPr="00EC7327" w:rsidRDefault="00FF2926" w:rsidP="00511FE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  <w:r w:rsidRPr="00EC7327">
              <w:rPr>
                <w:sz w:val="20"/>
                <w:szCs w:val="20"/>
              </w:rPr>
              <w:t>Deslizamientos de masas de tierra y piedra</w:t>
            </w:r>
            <w:r w:rsidRPr="00EC7327" w:rsidDel="00FF2926">
              <w:rPr>
                <w:sz w:val="20"/>
                <w:szCs w:val="20"/>
              </w:rPr>
              <w:t xml:space="preserve"> </w:t>
            </w:r>
          </w:p>
        </w:tc>
      </w:tr>
      <w:tr w:rsidR="00AF676D" w:rsidRPr="00EC7327" w:rsidTr="00EF0371">
        <w:trPr>
          <w:trHeight w:val="300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76D" w:rsidRPr="00EC7327" w:rsidRDefault="00AF676D" w:rsidP="00511FE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76D" w:rsidRPr="00EC7327" w:rsidRDefault="00AF676D" w:rsidP="00511FED">
            <w:pPr>
              <w:widowControl/>
              <w:autoSpaceDE/>
              <w:autoSpaceDN/>
              <w:adjustRightInd/>
              <w:rPr>
                <w:rFonts w:cs="Arial"/>
                <w:sz w:val="20"/>
                <w:szCs w:val="20"/>
              </w:rPr>
            </w:pPr>
          </w:p>
        </w:tc>
      </w:tr>
    </w:tbl>
    <w:p w:rsidR="00AF676D" w:rsidRPr="00EC7327" w:rsidRDefault="00AF676D" w:rsidP="00511FED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8E21B7" w:rsidRPr="00EC7327" w:rsidRDefault="008E21B7" w:rsidP="008E21B7">
      <w:pPr>
        <w:pStyle w:val="Default"/>
        <w:rPr>
          <w:lang w:val="es-PE"/>
        </w:rPr>
      </w:pPr>
    </w:p>
    <w:p w:rsidR="00AB2A43" w:rsidRPr="00EC7327" w:rsidRDefault="00654D92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 xml:space="preserve">caracteristicas de la solución </w:t>
      </w:r>
      <w:r w:rsidR="00B87281" w:rsidRPr="00EC7327">
        <w:rPr>
          <w:rStyle w:val="EstiloArial10ptNegritaNegro"/>
          <w:rFonts w:ascii="Arial Narrow" w:hAnsi="Arial Narrow"/>
          <w:b/>
          <w:bCs/>
        </w:rPr>
        <w:t xml:space="preserve">tÉcnica </w:t>
      </w:r>
      <w:r w:rsidRPr="00EC7327">
        <w:rPr>
          <w:rStyle w:val="EstiloArial10ptNegritaNegro"/>
          <w:rFonts w:ascii="Arial Narrow" w:hAnsi="Arial Narrow"/>
          <w:b/>
          <w:bCs/>
        </w:rPr>
        <w:t xml:space="preserve">planteada para </w:t>
      </w:r>
      <w:r w:rsidR="00B87281" w:rsidRPr="00EC7327">
        <w:rPr>
          <w:rStyle w:val="EstiloArial10ptNegritaNegro"/>
          <w:rFonts w:ascii="Arial Narrow" w:hAnsi="Arial Narrow"/>
          <w:b/>
          <w:bCs/>
        </w:rPr>
        <w:t xml:space="preserve">REDUCIR EL IMPACTO DEL PROBABLE DESASTRE </w:t>
      </w:r>
      <w:r w:rsidR="006A3F73" w:rsidRPr="00EC7327">
        <w:rPr>
          <w:rStyle w:val="EstiloArial10ptNegritaNegro"/>
          <w:rFonts w:ascii="Arial Narrow" w:hAnsi="Arial Narrow"/>
          <w:b/>
          <w:bCs/>
        </w:rPr>
        <w:t xml:space="preserve"> 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1E5961" w:rsidRPr="00EC7327" w:rsidRDefault="001E5961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DESCRIPCIÓN DE LAS CARACTERÍSTICAS DEL PIP DE EMERGENCIA TEMPORAL PROPUESTO PARA REDUCIR EL IMPACTO DEL PROBABLE DESASTRE POR </w:t>
      </w:r>
      <w:r w:rsidR="000C720F" w:rsidRPr="00EC7327">
        <w:rPr>
          <w:rFonts w:cs="Arial"/>
          <w:sz w:val="20"/>
          <w:szCs w:val="20"/>
        </w:rPr>
        <w:t>OCURRIR (</w:t>
      </w:r>
      <w:r w:rsidRPr="00EC7327">
        <w:rPr>
          <w:rFonts w:cs="Arial"/>
          <w:sz w:val="20"/>
          <w:szCs w:val="20"/>
        </w:rPr>
        <w:t>Descripciones técnicas, hidráulicas, estructurales, geométricas, etc., según corresponda).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1E5961" w:rsidRPr="00EC7327" w:rsidRDefault="00AB2A43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En este ítem se debe</w:t>
      </w:r>
      <w:r w:rsidR="00853323" w:rsidRPr="00EC7327">
        <w:rPr>
          <w:rFonts w:cs="Arial"/>
          <w:sz w:val="20"/>
          <w:szCs w:val="20"/>
        </w:rPr>
        <w:t xml:space="preserve">rá </w:t>
      </w:r>
      <w:r w:rsidR="0028062F" w:rsidRPr="00EC7327">
        <w:rPr>
          <w:rFonts w:cs="Arial"/>
          <w:sz w:val="20"/>
          <w:szCs w:val="20"/>
        </w:rPr>
        <w:t xml:space="preserve">describir las </w:t>
      </w:r>
      <w:r w:rsidRPr="00EC7327">
        <w:rPr>
          <w:rFonts w:cs="Arial"/>
          <w:sz w:val="20"/>
          <w:szCs w:val="20"/>
        </w:rPr>
        <w:t xml:space="preserve">características técnicas, </w:t>
      </w:r>
      <w:r w:rsidR="0028062F" w:rsidRPr="00EC7327">
        <w:rPr>
          <w:rFonts w:cs="Arial"/>
          <w:sz w:val="20"/>
          <w:szCs w:val="20"/>
        </w:rPr>
        <w:t xml:space="preserve">geométricas, </w:t>
      </w:r>
      <w:r w:rsidRPr="00EC7327">
        <w:rPr>
          <w:rFonts w:cs="Arial"/>
          <w:sz w:val="20"/>
          <w:szCs w:val="20"/>
        </w:rPr>
        <w:t>hidráulicas, estructurales, etc.</w:t>
      </w:r>
      <w:r w:rsidR="007D06CB" w:rsidRPr="00EC7327">
        <w:rPr>
          <w:rFonts w:cs="Arial"/>
          <w:sz w:val="20"/>
          <w:szCs w:val="20"/>
        </w:rPr>
        <w:t>, según corresponda</w:t>
      </w:r>
      <w:r w:rsidR="005F5455" w:rsidRPr="00EC7327">
        <w:rPr>
          <w:rFonts w:cs="Arial"/>
          <w:sz w:val="20"/>
          <w:szCs w:val="20"/>
        </w:rPr>
        <w:t xml:space="preserve"> de la infraestructura pública propuesta para reducir el impacto del prob</w:t>
      </w:r>
      <w:r w:rsidR="002E1856" w:rsidRPr="00EC7327">
        <w:rPr>
          <w:rFonts w:cs="Arial"/>
          <w:sz w:val="20"/>
          <w:szCs w:val="20"/>
        </w:rPr>
        <w:t xml:space="preserve">able desastre. Las acciones de mitigación </w:t>
      </w:r>
      <w:r w:rsidR="005F5455" w:rsidRPr="00EC7327">
        <w:rPr>
          <w:rFonts w:cs="Arial"/>
          <w:sz w:val="20"/>
          <w:szCs w:val="20"/>
        </w:rPr>
        <w:t>deberá</w:t>
      </w:r>
      <w:r w:rsidR="00BC4B62" w:rsidRPr="00EC7327">
        <w:rPr>
          <w:rFonts w:cs="Arial"/>
          <w:sz w:val="20"/>
          <w:szCs w:val="20"/>
        </w:rPr>
        <w:t>n</w:t>
      </w:r>
      <w:r w:rsidR="005F5455" w:rsidRPr="00EC7327">
        <w:rPr>
          <w:rFonts w:cs="Arial"/>
          <w:sz w:val="20"/>
          <w:szCs w:val="20"/>
        </w:rPr>
        <w:t xml:space="preserve"> estar asociada</w:t>
      </w:r>
      <w:r w:rsidR="00BC4B62" w:rsidRPr="00EC7327">
        <w:rPr>
          <w:rFonts w:cs="Arial"/>
          <w:sz w:val="20"/>
          <w:szCs w:val="20"/>
        </w:rPr>
        <w:t>s</w:t>
      </w:r>
      <w:r w:rsidR="00B7071D" w:rsidRPr="00EC7327">
        <w:rPr>
          <w:rFonts w:cs="Arial"/>
          <w:sz w:val="20"/>
          <w:szCs w:val="20"/>
        </w:rPr>
        <w:t xml:space="preserve"> al propósito de reducir el riesgo </w:t>
      </w:r>
      <w:r w:rsidR="001E0A2A" w:rsidRPr="00EC7327">
        <w:rPr>
          <w:rFonts w:cs="Arial"/>
          <w:sz w:val="20"/>
          <w:szCs w:val="20"/>
        </w:rPr>
        <w:t xml:space="preserve">por peligro inminente a través de intervenciones temporales con la finalidad de reducir la vulnerabilidad de la infraestructura pública </w:t>
      </w:r>
      <w:r w:rsidR="00B144F3" w:rsidRPr="00EC7327">
        <w:rPr>
          <w:rFonts w:cs="Arial"/>
          <w:sz w:val="20"/>
          <w:szCs w:val="20"/>
        </w:rPr>
        <w:t>(de</w:t>
      </w:r>
      <w:r w:rsidR="001E0A2A" w:rsidRPr="00EC7327">
        <w:rPr>
          <w:rFonts w:cs="Arial"/>
          <w:sz w:val="20"/>
          <w:szCs w:val="20"/>
        </w:rPr>
        <w:t xml:space="preserve"> salud, educación, vial, saneamiento, agrícola, </w:t>
      </w:r>
      <w:r w:rsidR="00B144F3" w:rsidRPr="00EC7327">
        <w:rPr>
          <w:rFonts w:cs="Arial"/>
          <w:sz w:val="20"/>
          <w:szCs w:val="20"/>
        </w:rPr>
        <w:t>etc.</w:t>
      </w:r>
      <w:r w:rsidR="001E0A2A" w:rsidRPr="00EC7327">
        <w:rPr>
          <w:rFonts w:cs="Arial"/>
          <w:sz w:val="20"/>
          <w:szCs w:val="20"/>
        </w:rPr>
        <w:t>).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1E5961" w:rsidRPr="00EC7327" w:rsidRDefault="001E5961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ORGANISMO RESPONSABLE DE LA OPERACIÓN Y MANTENIMIENTO DE LA INFRAESTRUCTURA PÚBLICA TEMPORAL PROPUESTA.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1E5961" w:rsidRPr="00EC7327" w:rsidRDefault="00B144F3" w:rsidP="00511FED">
      <w:pPr>
        <w:ind w:left="567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Señalar el nombre del organismo que tendrá a su cargo la operación y mantenimiento de la infraestructura pública propuesta que reducirá el riesgo por el peligro inminente existente.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1E5961" w:rsidRPr="00EC7327" w:rsidRDefault="001E5961" w:rsidP="00511FED">
      <w:pPr>
        <w:ind w:left="567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Por ejemplo: Para el caso de</w:t>
      </w:r>
      <w:r w:rsidR="006C2809" w:rsidRPr="00EC7327">
        <w:rPr>
          <w:rFonts w:cs="Arial"/>
          <w:sz w:val="20"/>
          <w:szCs w:val="20"/>
        </w:rPr>
        <w:t xml:space="preserve">l establecimiento de banquetas o andenería en las laderas de un cerro que presenta el peligro de deslizamiento, la </w:t>
      </w:r>
      <w:r w:rsidRPr="00EC7327">
        <w:rPr>
          <w:rFonts w:cs="Arial"/>
          <w:sz w:val="20"/>
          <w:szCs w:val="20"/>
        </w:rPr>
        <w:t xml:space="preserve">Institución responsable de la operación y mantenimiento </w:t>
      </w:r>
      <w:r w:rsidR="006C2809" w:rsidRPr="00EC7327">
        <w:rPr>
          <w:rFonts w:cs="Arial"/>
          <w:sz w:val="20"/>
          <w:szCs w:val="20"/>
        </w:rPr>
        <w:t>puede ser el gobierno local del ámbito de estudio de la intervención o podría ser la comisión de regantes del ámbito de estudio donde se presenta el peligro inminente.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28062F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 xml:space="preserve">presupuesto y programación </w:t>
      </w:r>
      <w:r w:rsidR="00F23F33" w:rsidRPr="00EC7327">
        <w:rPr>
          <w:rStyle w:val="EstiloArial10ptNegritaNegro"/>
          <w:rFonts w:ascii="Arial Narrow" w:hAnsi="Arial Narrow"/>
          <w:b/>
          <w:bCs/>
        </w:rPr>
        <w:t>físic</w:t>
      </w:r>
      <w:r w:rsidR="00D32A07" w:rsidRPr="00EC7327">
        <w:rPr>
          <w:rStyle w:val="EstiloArial10ptNegritaNegro"/>
          <w:rFonts w:ascii="Arial Narrow" w:hAnsi="Arial Narrow"/>
          <w:b/>
          <w:bCs/>
        </w:rPr>
        <w:t>A</w:t>
      </w:r>
      <w:r w:rsidR="00F23F33" w:rsidRPr="00EC7327">
        <w:rPr>
          <w:rStyle w:val="EstiloArial10ptNegritaNegro"/>
          <w:rFonts w:ascii="Arial Narrow" w:hAnsi="Arial Narrow"/>
          <w:b/>
          <w:bCs/>
        </w:rPr>
        <w:t>-financier</w:t>
      </w:r>
      <w:r w:rsidR="00D32A07" w:rsidRPr="00EC7327">
        <w:rPr>
          <w:rStyle w:val="EstiloArial10ptNegritaNegro"/>
          <w:rFonts w:ascii="Arial Narrow" w:hAnsi="Arial Narrow"/>
          <w:b/>
          <w:bCs/>
        </w:rPr>
        <w:t>A</w:t>
      </w:r>
      <w:r w:rsidR="00F23F33" w:rsidRPr="00EC7327">
        <w:rPr>
          <w:rStyle w:val="EstiloArial10ptNegritaNegro"/>
          <w:rFonts w:ascii="Arial Narrow" w:hAnsi="Arial Narrow"/>
          <w:b/>
          <w:bCs/>
        </w:rPr>
        <w:t xml:space="preserve"> </w:t>
      </w:r>
      <w:r w:rsidR="00D32A07" w:rsidRPr="00EC7327">
        <w:rPr>
          <w:rStyle w:val="EstiloArial10ptNegritaNegro"/>
          <w:rFonts w:ascii="Arial Narrow" w:hAnsi="Arial Narrow"/>
          <w:b/>
          <w:bCs/>
        </w:rPr>
        <w:t>DE EJECUCIÓN</w:t>
      </w:r>
      <w:r w:rsidR="00C80B1B" w:rsidRPr="00EC7327">
        <w:rPr>
          <w:rStyle w:val="EstiloArial10ptNegritaNegro"/>
          <w:rFonts w:ascii="Arial Narrow" w:hAnsi="Arial Narrow"/>
          <w:b/>
          <w:bCs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F23F33" w:rsidRPr="00EC7327" w:rsidRDefault="00DD1729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MODALIDAD DE EJECUCIÓN DE LA OBRA</w:t>
      </w:r>
      <w:r w:rsidR="00C80B1B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F23F33" w:rsidRPr="00EC7327" w:rsidRDefault="003702F6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La modalidad </w:t>
      </w:r>
      <w:r w:rsidR="008A1759" w:rsidRPr="00EC7327">
        <w:rPr>
          <w:rFonts w:cs="Arial"/>
          <w:sz w:val="20"/>
          <w:szCs w:val="20"/>
        </w:rPr>
        <w:t>de ejecución de</w:t>
      </w:r>
      <w:r w:rsidR="00DD1729" w:rsidRPr="00EC7327">
        <w:rPr>
          <w:rFonts w:cs="Arial"/>
          <w:sz w:val="20"/>
          <w:szCs w:val="20"/>
        </w:rPr>
        <w:t xml:space="preserve"> </w:t>
      </w:r>
      <w:r w:rsidR="008A1759" w:rsidRPr="00EC7327">
        <w:rPr>
          <w:rFonts w:cs="Arial"/>
          <w:sz w:val="20"/>
          <w:szCs w:val="20"/>
        </w:rPr>
        <w:t>l</w:t>
      </w:r>
      <w:r w:rsidR="00DD1729" w:rsidRPr="00EC7327">
        <w:rPr>
          <w:rFonts w:cs="Arial"/>
          <w:sz w:val="20"/>
          <w:szCs w:val="20"/>
        </w:rPr>
        <w:t>a</w:t>
      </w:r>
      <w:r w:rsidR="008A1759" w:rsidRPr="00EC7327">
        <w:rPr>
          <w:rFonts w:cs="Arial"/>
          <w:sz w:val="20"/>
          <w:szCs w:val="20"/>
        </w:rPr>
        <w:t xml:space="preserve"> </w:t>
      </w:r>
      <w:r w:rsidR="00DD1729" w:rsidRPr="00EC7327">
        <w:rPr>
          <w:rFonts w:cs="Arial"/>
          <w:sz w:val="20"/>
          <w:szCs w:val="20"/>
        </w:rPr>
        <w:t>obra</w:t>
      </w:r>
      <w:r w:rsidRPr="00EC7327">
        <w:rPr>
          <w:rFonts w:cs="Arial"/>
          <w:sz w:val="20"/>
          <w:szCs w:val="20"/>
        </w:rPr>
        <w:t xml:space="preserve"> puede ser: </w:t>
      </w:r>
      <w:r w:rsidR="008A1759" w:rsidRPr="00EC7327">
        <w:rPr>
          <w:rFonts w:cs="Arial"/>
          <w:sz w:val="20"/>
          <w:szCs w:val="20"/>
        </w:rPr>
        <w:t xml:space="preserve">a) </w:t>
      </w:r>
      <w:r w:rsidR="005B5060" w:rsidRPr="00EC7327">
        <w:rPr>
          <w:rFonts w:cs="Arial"/>
          <w:sz w:val="20"/>
          <w:szCs w:val="20"/>
        </w:rPr>
        <w:t xml:space="preserve">Ejecución presupuestaria </w:t>
      </w:r>
      <w:r w:rsidR="000C720F" w:rsidRPr="00EC7327">
        <w:rPr>
          <w:rFonts w:cs="Arial"/>
          <w:sz w:val="20"/>
          <w:szCs w:val="20"/>
        </w:rPr>
        <w:t>Directa o</w:t>
      </w:r>
      <w:r w:rsidR="008A1759" w:rsidRPr="00EC7327">
        <w:rPr>
          <w:rFonts w:cs="Arial"/>
          <w:sz w:val="20"/>
          <w:szCs w:val="20"/>
        </w:rPr>
        <w:t xml:space="preserve"> b) </w:t>
      </w:r>
      <w:r w:rsidR="0026199A" w:rsidRPr="00EC7327">
        <w:rPr>
          <w:rFonts w:cs="Arial"/>
          <w:sz w:val="20"/>
          <w:szCs w:val="20"/>
        </w:rPr>
        <w:t>Contrata</w:t>
      </w:r>
      <w:r w:rsidR="00255687" w:rsidRPr="00EC7327">
        <w:rPr>
          <w:rFonts w:cs="Arial"/>
          <w:sz w:val="20"/>
          <w:szCs w:val="20"/>
        </w:rPr>
        <w:t>. Deberá seleccionarse una de ellas según corresponda. En el caso que un Gobierno Regional con</w:t>
      </w:r>
      <w:r w:rsidR="00F9472C" w:rsidRPr="00EC7327">
        <w:rPr>
          <w:rFonts w:cs="Arial"/>
          <w:sz w:val="20"/>
          <w:szCs w:val="20"/>
        </w:rPr>
        <w:t>sidere</w:t>
      </w:r>
      <w:r w:rsidR="00255687" w:rsidRPr="00EC7327">
        <w:rPr>
          <w:rFonts w:cs="Arial"/>
          <w:sz w:val="20"/>
          <w:szCs w:val="20"/>
        </w:rPr>
        <w:t xml:space="preserve"> </w:t>
      </w:r>
      <w:r w:rsidR="00F9472C" w:rsidRPr="00EC7327">
        <w:rPr>
          <w:rFonts w:cs="Arial"/>
          <w:sz w:val="20"/>
          <w:szCs w:val="20"/>
        </w:rPr>
        <w:t xml:space="preserve">ejecutar </w:t>
      </w:r>
      <w:r w:rsidR="00255687" w:rsidRPr="00EC7327">
        <w:rPr>
          <w:rFonts w:cs="Arial"/>
          <w:sz w:val="20"/>
          <w:szCs w:val="20"/>
        </w:rPr>
        <w:t>la obra</w:t>
      </w:r>
      <w:r w:rsidR="00F9472C" w:rsidRPr="00EC7327">
        <w:rPr>
          <w:rFonts w:cs="Arial"/>
          <w:sz w:val="20"/>
          <w:szCs w:val="20"/>
        </w:rPr>
        <w:t xml:space="preserve"> pública </w:t>
      </w:r>
      <w:r w:rsidR="00DD1729" w:rsidRPr="00EC7327">
        <w:rPr>
          <w:rFonts w:cs="Arial"/>
          <w:sz w:val="20"/>
          <w:szCs w:val="20"/>
        </w:rPr>
        <w:t xml:space="preserve">con otra entidad deberá tener presente lo siguiente: A partir del 1 de enero de 2010, la utilización de la modalidad del “Encargo” con fondos públicos a que se refieren los artículos 62 y 63 y disposiciones conexas de la Directiva de Tesorería </w:t>
      </w:r>
      <w:r w:rsidR="00137774" w:rsidRPr="00EC7327">
        <w:rPr>
          <w:rFonts w:cs="Arial"/>
          <w:sz w:val="20"/>
          <w:szCs w:val="20"/>
        </w:rPr>
        <w:t>N°</w:t>
      </w:r>
      <w:r w:rsidR="0026199A" w:rsidRPr="00EC7327">
        <w:rPr>
          <w:rFonts w:cs="Arial"/>
          <w:sz w:val="20"/>
          <w:szCs w:val="20"/>
        </w:rPr>
        <w:t xml:space="preserve"> </w:t>
      </w:r>
      <w:r w:rsidR="00DD1729" w:rsidRPr="00EC7327">
        <w:rPr>
          <w:rFonts w:cs="Arial"/>
          <w:sz w:val="20"/>
          <w:szCs w:val="20"/>
        </w:rPr>
        <w:t xml:space="preserve">001-2007-EF/77.15, aprobada por la Resolución Directoral </w:t>
      </w:r>
      <w:r w:rsidR="00137774" w:rsidRPr="00EC7327">
        <w:rPr>
          <w:rFonts w:cs="Arial"/>
          <w:sz w:val="20"/>
          <w:szCs w:val="20"/>
        </w:rPr>
        <w:t>N°</w:t>
      </w:r>
      <w:r w:rsidR="00DD1729" w:rsidRPr="00EC7327">
        <w:rPr>
          <w:rFonts w:cs="Arial"/>
          <w:sz w:val="20"/>
          <w:szCs w:val="20"/>
        </w:rPr>
        <w:t xml:space="preserve"> 002-2007-EF/77.15, sólo procede para el caso de Unidades Ejecutoras a sus dependencias desconcentradas. Resolución Directoral </w:t>
      </w:r>
      <w:r w:rsidR="00137774" w:rsidRPr="00EC7327">
        <w:rPr>
          <w:rFonts w:cs="Arial"/>
          <w:sz w:val="20"/>
          <w:szCs w:val="20"/>
        </w:rPr>
        <w:t>N°</w:t>
      </w:r>
      <w:r w:rsidR="0026199A" w:rsidRPr="00EC7327">
        <w:rPr>
          <w:rFonts w:cs="Arial"/>
          <w:sz w:val="20"/>
          <w:szCs w:val="20"/>
        </w:rPr>
        <w:t xml:space="preserve"> </w:t>
      </w:r>
      <w:r w:rsidR="00DD1729" w:rsidRPr="00EC7327">
        <w:rPr>
          <w:rFonts w:cs="Arial"/>
          <w:sz w:val="20"/>
          <w:szCs w:val="20"/>
        </w:rPr>
        <w:t>021-2009-EF/77.15.</w:t>
      </w:r>
    </w:p>
    <w:p w:rsidR="00511FED" w:rsidRDefault="00511FED" w:rsidP="00511FED">
      <w:pPr>
        <w:pStyle w:val="Default"/>
        <w:rPr>
          <w:lang w:val="es-PE"/>
        </w:rPr>
      </w:pPr>
    </w:p>
    <w:p w:rsidR="000A6532" w:rsidRDefault="000A6532" w:rsidP="00511FED">
      <w:pPr>
        <w:pStyle w:val="Default"/>
        <w:rPr>
          <w:lang w:val="es-PE"/>
        </w:rPr>
      </w:pPr>
    </w:p>
    <w:p w:rsidR="000A6532" w:rsidRPr="00EC7327" w:rsidRDefault="000A6532" w:rsidP="00511FED">
      <w:pPr>
        <w:pStyle w:val="Default"/>
        <w:rPr>
          <w:lang w:val="es-PE"/>
        </w:rPr>
      </w:pPr>
      <w:bookmarkStart w:id="2" w:name="_GoBack"/>
      <w:bookmarkEnd w:id="2"/>
    </w:p>
    <w:p w:rsidR="00AB2A43" w:rsidRPr="00EC7327" w:rsidRDefault="00C61299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lastRenderedPageBreak/>
        <w:t>PRESUPUESTO DEL PIP DE EMERGENCIA</w:t>
      </w:r>
      <w:r w:rsidR="007A3900" w:rsidRPr="00EC7327">
        <w:rPr>
          <w:rFonts w:cs="Arial"/>
          <w:sz w:val="20"/>
          <w:szCs w:val="20"/>
        </w:rPr>
        <w:t xml:space="preserve"> POR </w:t>
      </w:r>
      <w:r w:rsidR="00C86B54" w:rsidRPr="00EC7327">
        <w:rPr>
          <w:rFonts w:cs="Arial"/>
          <w:sz w:val="20"/>
          <w:szCs w:val="20"/>
        </w:rPr>
        <w:t>PELIGRO INMINENTE</w:t>
      </w:r>
      <w:r w:rsidR="00C80B1B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AB2A43" w:rsidRPr="00EC7327" w:rsidRDefault="006E5DB1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Describir las partidas </w:t>
      </w:r>
      <w:r w:rsidR="0005717F" w:rsidRPr="00EC7327">
        <w:rPr>
          <w:rFonts w:cs="Arial"/>
          <w:sz w:val="20"/>
          <w:szCs w:val="20"/>
        </w:rPr>
        <w:t xml:space="preserve">y subpartidas </w:t>
      </w:r>
      <w:r w:rsidR="003C434B" w:rsidRPr="00EC7327">
        <w:rPr>
          <w:rFonts w:cs="Arial"/>
          <w:sz w:val="20"/>
          <w:szCs w:val="20"/>
        </w:rPr>
        <w:t xml:space="preserve">del PIP de emergencia </w:t>
      </w:r>
      <w:r w:rsidR="001E5961" w:rsidRPr="00EC7327">
        <w:rPr>
          <w:rFonts w:cs="Arial"/>
          <w:sz w:val="20"/>
          <w:szCs w:val="20"/>
        </w:rPr>
        <w:t xml:space="preserve">por </w:t>
      </w:r>
      <w:r w:rsidR="00C86B54" w:rsidRPr="00EC7327">
        <w:rPr>
          <w:rFonts w:cs="Arial"/>
          <w:sz w:val="20"/>
          <w:szCs w:val="20"/>
        </w:rPr>
        <w:t>Peligro Inminente</w:t>
      </w:r>
      <w:r w:rsidR="003C434B" w:rsidRPr="00EC7327">
        <w:rPr>
          <w:rFonts w:cs="Arial"/>
          <w:sz w:val="20"/>
          <w:szCs w:val="20"/>
        </w:rPr>
        <w:t>, indicando</w:t>
      </w:r>
      <w:r w:rsidR="00AB2A43" w:rsidRPr="00EC7327">
        <w:rPr>
          <w:rFonts w:cs="Arial"/>
          <w:sz w:val="20"/>
          <w:szCs w:val="20"/>
        </w:rPr>
        <w:t xml:space="preserve">: unidad de medida, </w:t>
      </w:r>
      <w:r w:rsidR="00A17D60" w:rsidRPr="00EC7327">
        <w:rPr>
          <w:rFonts w:cs="Arial"/>
          <w:sz w:val="20"/>
          <w:szCs w:val="20"/>
        </w:rPr>
        <w:t>metrado</w:t>
      </w:r>
      <w:r w:rsidR="0005717F" w:rsidRPr="00EC7327">
        <w:rPr>
          <w:rFonts w:cs="Arial"/>
          <w:sz w:val="20"/>
          <w:szCs w:val="20"/>
        </w:rPr>
        <w:t xml:space="preserve">, </w:t>
      </w:r>
      <w:r w:rsidR="00A17D60" w:rsidRPr="00EC7327">
        <w:rPr>
          <w:rFonts w:cs="Arial"/>
          <w:sz w:val="20"/>
          <w:szCs w:val="20"/>
        </w:rPr>
        <w:t>precio</w:t>
      </w:r>
      <w:r w:rsidR="00AB2A43" w:rsidRPr="00EC7327">
        <w:rPr>
          <w:rFonts w:cs="Arial"/>
          <w:sz w:val="20"/>
          <w:szCs w:val="20"/>
        </w:rPr>
        <w:t xml:space="preserve"> unitario</w:t>
      </w:r>
      <w:r w:rsidR="00A17D60" w:rsidRPr="00EC7327">
        <w:rPr>
          <w:rFonts w:cs="Arial"/>
          <w:sz w:val="20"/>
          <w:szCs w:val="20"/>
        </w:rPr>
        <w:t xml:space="preserve"> y</w:t>
      </w:r>
      <w:r w:rsidR="00AB2A43" w:rsidRPr="00EC7327">
        <w:rPr>
          <w:rFonts w:cs="Arial"/>
          <w:sz w:val="20"/>
          <w:szCs w:val="20"/>
        </w:rPr>
        <w:t xml:space="preserve"> </w:t>
      </w:r>
      <w:r w:rsidR="00A17D60" w:rsidRPr="00EC7327">
        <w:rPr>
          <w:rFonts w:cs="Arial"/>
          <w:sz w:val="20"/>
          <w:szCs w:val="20"/>
        </w:rPr>
        <w:t xml:space="preserve">precio parcial; finalmente se presentará el presupuesto total de la obra a </w:t>
      </w:r>
      <w:r w:rsidR="000C720F" w:rsidRPr="00EC7327">
        <w:rPr>
          <w:rFonts w:cs="Arial"/>
          <w:sz w:val="20"/>
          <w:szCs w:val="20"/>
        </w:rPr>
        <w:t>rehabilitar expresados</w:t>
      </w:r>
      <w:r w:rsidR="00AB2A43" w:rsidRPr="00EC7327">
        <w:rPr>
          <w:rFonts w:cs="Arial"/>
          <w:sz w:val="20"/>
          <w:szCs w:val="20"/>
        </w:rPr>
        <w:t xml:space="preserve"> en </w:t>
      </w:r>
      <w:r w:rsidR="00E24DE6" w:rsidRPr="00EC7327">
        <w:rPr>
          <w:rFonts w:cs="Arial"/>
          <w:sz w:val="20"/>
          <w:szCs w:val="20"/>
        </w:rPr>
        <w:t>S</w:t>
      </w:r>
      <w:r w:rsidR="002242C5" w:rsidRPr="00EC7327">
        <w:rPr>
          <w:rFonts w:cs="Arial"/>
          <w:sz w:val="20"/>
          <w:szCs w:val="20"/>
        </w:rPr>
        <w:t>oles, sin considerar decimales.</w:t>
      </w:r>
    </w:p>
    <w:p w:rsidR="00AB2A43" w:rsidRPr="00EC7327" w:rsidRDefault="00071ED5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Por ejemplo:</w:t>
      </w:r>
    </w:p>
    <w:p w:rsidR="00AB2A43" w:rsidRPr="00EC7327" w:rsidRDefault="005204DA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En la Ficha </w:t>
      </w:r>
      <w:r w:rsidR="007E37AD" w:rsidRPr="00EC7327">
        <w:rPr>
          <w:rFonts w:cs="Arial"/>
          <w:sz w:val="20"/>
          <w:szCs w:val="20"/>
        </w:rPr>
        <w:t>Técnica,</w:t>
      </w:r>
      <w:r w:rsidRPr="00EC7327">
        <w:rPr>
          <w:rFonts w:cs="Arial"/>
          <w:sz w:val="20"/>
          <w:szCs w:val="20"/>
        </w:rPr>
        <w:t xml:space="preserve"> en la columna que corresponde a la Unidad de Medida </w:t>
      </w:r>
      <w:r w:rsidR="007E37AD" w:rsidRPr="00EC7327">
        <w:rPr>
          <w:rFonts w:cs="Arial"/>
          <w:sz w:val="20"/>
          <w:szCs w:val="20"/>
        </w:rPr>
        <w:t>se</w:t>
      </w:r>
      <w:r w:rsidR="00AB2A43" w:rsidRPr="00EC7327">
        <w:rPr>
          <w:rFonts w:cs="Arial"/>
          <w:sz w:val="20"/>
          <w:szCs w:val="20"/>
        </w:rPr>
        <w:t xml:space="preserve"> consignará “</w:t>
      </w:r>
      <w:r w:rsidR="00EE2DA4" w:rsidRPr="00EC7327">
        <w:rPr>
          <w:rFonts w:cs="Arial"/>
          <w:sz w:val="20"/>
          <w:szCs w:val="20"/>
        </w:rPr>
        <w:t>ml</w:t>
      </w:r>
      <w:r w:rsidR="00AB2A43" w:rsidRPr="00EC7327">
        <w:rPr>
          <w:rFonts w:cs="Arial"/>
          <w:sz w:val="20"/>
          <w:szCs w:val="20"/>
        </w:rPr>
        <w:t>”</w:t>
      </w:r>
      <w:r w:rsidR="007E37AD" w:rsidRPr="00EC7327">
        <w:rPr>
          <w:rFonts w:cs="Arial"/>
          <w:sz w:val="20"/>
          <w:szCs w:val="20"/>
        </w:rPr>
        <w:t xml:space="preserve"> como unidad de medida;</w:t>
      </w:r>
      <w:r w:rsidR="00AB2A43" w:rsidRPr="00EC7327">
        <w:rPr>
          <w:rFonts w:cs="Arial"/>
          <w:sz w:val="20"/>
          <w:szCs w:val="20"/>
        </w:rPr>
        <w:t xml:space="preserve"> la cantidad </w:t>
      </w:r>
      <w:r w:rsidR="00A17D60" w:rsidRPr="00EC7327">
        <w:rPr>
          <w:rFonts w:cs="Arial"/>
          <w:sz w:val="20"/>
          <w:szCs w:val="20"/>
        </w:rPr>
        <w:t>o metrado</w:t>
      </w:r>
      <w:r w:rsidRPr="00EC7327">
        <w:rPr>
          <w:rFonts w:cs="Arial"/>
          <w:sz w:val="20"/>
          <w:szCs w:val="20"/>
        </w:rPr>
        <w:t>:</w:t>
      </w:r>
      <w:r w:rsidR="00A17D60" w:rsidRPr="00EC7327">
        <w:rPr>
          <w:rFonts w:cs="Arial"/>
          <w:sz w:val="20"/>
          <w:szCs w:val="20"/>
        </w:rPr>
        <w:t xml:space="preserve"> </w:t>
      </w:r>
      <w:r w:rsidR="00EE2DA4" w:rsidRPr="00EC7327">
        <w:rPr>
          <w:rFonts w:cs="Arial"/>
          <w:sz w:val="20"/>
          <w:szCs w:val="20"/>
        </w:rPr>
        <w:t xml:space="preserve">120 </w:t>
      </w:r>
      <w:r w:rsidR="00A17D60" w:rsidRPr="00EC7327">
        <w:rPr>
          <w:rFonts w:cs="Arial"/>
          <w:sz w:val="20"/>
          <w:szCs w:val="20"/>
        </w:rPr>
        <w:t>como cantidad requerida</w:t>
      </w:r>
      <w:r w:rsidRPr="00EC7327">
        <w:rPr>
          <w:rFonts w:cs="Arial"/>
          <w:sz w:val="20"/>
          <w:szCs w:val="20"/>
        </w:rPr>
        <w:t xml:space="preserve">; </w:t>
      </w:r>
      <w:r w:rsidR="00AB2A43" w:rsidRPr="00EC7327">
        <w:rPr>
          <w:rFonts w:cs="Arial"/>
          <w:sz w:val="20"/>
          <w:szCs w:val="20"/>
        </w:rPr>
        <w:t>el costo unitario es el precio de</w:t>
      </w:r>
      <w:r w:rsidR="00EE2DA4" w:rsidRPr="00EC7327">
        <w:rPr>
          <w:rFonts w:cs="Arial"/>
          <w:sz w:val="20"/>
          <w:szCs w:val="20"/>
        </w:rPr>
        <w:t>l ml de</w:t>
      </w:r>
      <w:r w:rsidR="00A17D60" w:rsidRPr="00EC7327">
        <w:rPr>
          <w:rFonts w:cs="Arial"/>
          <w:sz w:val="20"/>
          <w:szCs w:val="20"/>
        </w:rPr>
        <w:t xml:space="preserve"> </w:t>
      </w:r>
      <w:r w:rsidR="00AB2A43" w:rsidRPr="00EC7327">
        <w:rPr>
          <w:rFonts w:cs="Arial"/>
          <w:sz w:val="20"/>
          <w:szCs w:val="20"/>
        </w:rPr>
        <w:t xml:space="preserve">tubería </w:t>
      </w:r>
      <w:r w:rsidR="000E2BAE" w:rsidRPr="00EC7327">
        <w:rPr>
          <w:rFonts w:cs="Arial"/>
          <w:sz w:val="20"/>
          <w:szCs w:val="20"/>
        </w:rPr>
        <w:t>requerida</w:t>
      </w:r>
      <w:r w:rsidR="007E37AD" w:rsidRPr="00EC7327">
        <w:rPr>
          <w:rFonts w:cs="Arial"/>
          <w:sz w:val="20"/>
          <w:szCs w:val="20"/>
        </w:rPr>
        <w:t>,</w:t>
      </w:r>
      <w:r w:rsidR="007D4C64" w:rsidRPr="00EC7327">
        <w:rPr>
          <w:rFonts w:cs="Arial"/>
          <w:sz w:val="20"/>
          <w:szCs w:val="20"/>
        </w:rPr>
        <w:t xml:space="preserve"> </w:t>
      </w:r>
      <w:r w:rsidR="00AB2A43" w:rsidRPr="00EC7327">
        <w:rPr>
          <w:rFonts w:cs="Arial"/>
          <w:sz w:val="20"/>
          <w:szCs w:val="20"/>
        </w:rPr>
        <w:t>incluyendo impuestos</w:t>
      </w:r>
      <w:r w:rsidR="000E2BAE" w:rsidRPr="00EC7327">
        <w:rPr>
          <w:rFonts w:cs="Arial"/>
          <w:sz w:val="20"/>
          <w:szCs w:val="20"/>
        </w:rPr>
        <w:t>,</w:t>
      </w:r>
      <w:r w:rsidR="00AB2A43" w:rsidRPr="00EC7327">
        <w:rPr>
          <w:rFonts w:cs="Arial"/>
          <w:sz w:val="20"/>
          <w:szCs w:val="20"/>
        </w:rPr>
        <w:t xml:space="preserve"> costo de instalación</w:t>
      </w:r>
      <w:r w:rsidR="000E2BAE" w:rsidRPr="00EC7327">
        <w:rPr>
          <w:rFonts w:cs="Arial"/>
          <w:sz w:val="20"/>
          <w:szCs w:val="20"/>
        </w:rPr>
        <w:t xml:space="preserve"> y puesta en obra</w:t>
      </w:r>
      <w:r w:rsidRPr="00EC7327">
        <w:rPr>
          <w:rFonts w:cs="Arial"/>
          <w:sz w:val="20"/>
          <w:szCs w:val="20"/>
        </w:rPr>
        <w:t xml:space="preserve">; </w:t>
      </w:r>
      <w:r w:rsidR="00EE2DA4" w:rsidRPr="00EC7327">
        <w:rPr>
          <w:rFonts w:cs="Arial"/>
          <w:sz w:val="20"/>
          <w:szCs w:val="20"/>
        </w:rPr>
        <w:t xml:space="preserve">el </w:t>
      </w:r>
      <w:r w:rsidR="007D4C64" w:rsidRPr="00EC7327">
        <w:rPr>
          <w:rFonts w:cs="Arial"/>
          <w:sz w:val="20"/>
          <w:szCs w:val="20"/>
        </w:rPr>
        <w:t>precio</w:t>
      </w:r>
      <w:r w:rsidR="00A17D60" w:rsidRPr="00EC7327">
        <w:rPr>
          <w:rFonts w:cs="Arial"/>
          <w:sz w:val="20"/>
          <w:szCs w:val="20"/>
        </w:rPr>
        <w:t xml:space="preserve"> parcial </w:t>
      </w:r>
      <w:r w:rsidR="00AB2A43" w:rsidRPr="00EC7327">
        <w:rPr>
          <w:rFonts w:cs="Arial"/>
          <w:sz w:val="20"/>
          <w:szCs w:val="20"/>
        </w:rPr>
        <w:t>corresponderá al</w:t>
      </w:r>
      <w:r w:rsidR="00A17D60" w:rsidRPr="00EC7327">
        <w:rPr>
          <w:rFonts w:cs="Arial"/>
          <w:sz w:val="20"/>
          <w:szCs w:val="20"/>
        </w:rPr>
        <w:t xml:space="preserve"> producto de multiplicar el precio unitario (</w:t>
      </w:r>
      <w:r w:rsidR="00A17D60" w:rsidRPr="00EC7327">
        <w:rPr>
          <w:rFonts w:cs="Arial"/>
          <w:sz w:val="20"/>
          <w:szCs w:val="20"/>
          <w:vertAlign w:val="superscript"/>
        </w:rPr>
        <w:t>S/.</w:t>
      </w:r>
      <w:r w:rsidR="00A17D60" w:rsidRPr="00EC7327">
        <w:rPr>
          <w:rFonts w:cs="Arial"/>
          <w:sz w:val="20"/>
          <w:szCs w:val="20"/>
        </w:rPr>
        <w:t>/ml de tubería) por el metrado</w:t>
      </w:r>
      <w:r w:rsidR="007D4C64" w:rsidRPr="00EC7327">
        <w:rPr>
          <w:rFonts w:cs="Arial"/>
          <w:sz w:val="20"/>
          <w:szCs w:val="20"/>
        </w:rPr>
        <w:t xml:space="preserve"> de tubería (cantidad de tubería en ml). La suma de todos los precios parciales </w:t>
      </w:r>
      <w:r w:rsidR="007E37AD" w:rsidRPr="00EC7327">
        <w:rPr>
          <w:rFonts w:cs="Arial"/>
          <w:sz w:val="20"/>
          <w:szCs w:val="20"/>
        </w:rPr>
        <w:t xml:space="preserve">de las partidas, </w:t>
      </w:r>
      <w:r w:rsidRPr="00EC7327">
        <w:rPr>
          <w:rFonts w:cs="Arial"/>
          <w:sz w:val="20"/>
          <w:szCs w:val="20"/>
        </w:rPr>
        <w:t xml:space="preserve">corresponde al </w:t>
      </w:r>
      <w:r w:rsidR="007D4C64" w:rsidRPr="00EC7327">
        <w:rPr>
          <w:rFonts w:cs="Arial"/>
          <w:sz w:val="20"/>
          <w:szCs w:val="20"/>
        </w:rPr>
        <w:t>presupuesto total de la obra</w:t>
      </w:r>
      <w:r w:rsidR="00AB2A43" w:rsidRPr="00EC7327">
        <w:rPr>
          <w:rFonts w:cs="Arial"/>
          <w:sz w:val="20"/>
          <w:szCs w:val="20"/>
        </w:rPr>
        <w:t xml:space="preserve">. </w:t>
      </w:r>
    </w:p>
    <w:p w:rsidR="001F763D" w:rsidRPr="00EC7327" w:rsidRDefault="001F763D" w:rsidP="00511FED">
      <w:pPr>
        <w:pStyle w:val="Default"/>
        <w:rPr>
          <w:lang w:val="es-PE"/>
        </w:rPr>
      </w:pPr>
    </w:p>
    <w:p w:rsidR="00AB2A43" w:rsidRPr="00EC7327" w:rsidRDefault="00AB2A43" w:rsidP="00511FED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PROGRAMA</w:t>
      </w:r>
      <w:r w:rsidR="00A17D60" w:rsidRPr="00EC7327">
        <w:rPr>
          <w:rFonts w:cs="Arial"/>
          <w:sz w:val="20"/>
          <w:szCs w:val="20"/>
        </w:rPr>
        <w:t>CIÓN</w:t>
      </w:r>
      <w:r w:rsidRPr="00EC7327">
        <w:rPr>
          <w:rFonts w:cs="Arial"/>
          <w:sz w:val="20"/>
          <w:szCs w:val="20"/>
        </w:rPr>
        <w:t xml:space="preserve"> FÍSIC</w:t>
      </w:r>
      <w:r w:rsidR="006B2F8E" w:rsidRPr="00EC7327">
        <w:rPr>
          <w:rFonts w:cs="Arial"/>
          <w:sz w:val="20"/>
          <w:szCs w:val="20"/>
        </w:rPr>
        <w:t>A</w:t>
      </w:r>
      <w:r w:rsidRPr="00EC7327">
        <w:rPr>
          <w:rFonts w:cs="Arial"/>
          <w:sz w:val="20"/>
          <w:szCs w:val="20"/>
        </w:rPr>
        <w:t>-FINANCIER</w:t>
      </w:r>
      <w:r w:rsidR="006B2F8E" w:rsidRPr="00EC7327">
        <w:rPr>
          <w:rFonts w:cs="Arial"/>
          <w:sz w:val="20"/>
          <w:szCs w:val="20"/>
        </w:rPr>
        <w:t>A</w:t>
      </w:r>
      <w:r w:rsidRPr="00EC7327">
        <w:rPr>
          <w:rFonts w:cs="Arial"/>
          <w:sz w:val="20"/>
          <w:szCs w:val="20"/>
        </w:rPr>
        <w:t xml:space="preserve"> DE LA E</w:t>
      </w:r>
      <w:r w:rsidR="00071ED5" w:rsidRPr="00EC7327">
        <w:rPr>
          <w:rFonts w:cs="Arial"/>
          <w:sz w:val="20"/>
          <w:szCs w:val="20"/>
        </w:rPr>
        <w:t>JECUCIÓN DEL PIP DE EMERGENCIA</w:t>
      </w:r>
      <w:r w:rsidR="001E5961" w:rsidRPr="00EC7327">
        <w:rPr>
          <w:rFonts w:cs="Arial"/>
          <w:sz w:val="20"/>
          <w:szCs w:val="20"/>
        </w:rPr>
        <w:t xml:space="preserve"> POR </w:t>
      </w:r>
      <w:r w:rsidR="00C86B54" w:rsidRPr="00EC7327">
        <w:rPr>
          <w:rFonts w:cs="Arial"/>
          <w:sz w:val="20"/>
          <w:szCs w:val="20"/>
        </w:rPr>
        <w:t>PELIGRO INMINENTE</w:t>
      </w:r>
      <w:r w:rsidR="00071ED5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AB2A43" w:rsidRPr="00EC7327" w:rsidRDefault="00005BD2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Se debe consignar la programación mensual del avance físico y financiero que tomará la ejecución del PIP de emergencia</w:t>
      </w:r>
      <w:r w:rsidR="00606E2E" w:rsidRPr="00EC7327">
        <w:rPr>
          <w:rFonts w:cs="Arial"/>
          <w:sz w:val="20"/>
          <w:szCs w:val="20"/>
        </w:rPr>
        <w:t xml:space="preserve"> por partidas y subpartida</w:t>
      </w:r>
      <w:r w:rsidRPr="00EC7327">
        <w:rPr>
          <w:rFonts w:cs="Arial"/>
          <w:sz w:val="20"/>
          <w:szCs w:val="20"/>
        </w:rPr>
        <w:t>; debiendo considerarse l</w:t>
      </w:r>
      <w:r w:rsidR="00606E2E" w:rsidRPr="00EC7327">
        <w:rPr>
          <w:rFonts w:cs="Arial"/>
          <w:sz w:val="20"/>
          <w:szCs w:val="20"/>
        </w:rPr>
        <w:t xml:space="preserve">os procesos administrativos, entre ellos </w:t>
      </w:r>
      <w:r w:rsidR="0026199A" w:rsidRPr="00EC7327">
        <w:rPr>
          <w:rFonts w:cs="Arial"/>
          <w:sz w:val="20"/>
          <w:szCs w:val="20"/>
        </w:rPr>
        <w:t xml:space="preserve">los procesos de selección y contratación de elaboración de expediente técnico (de ser el caso), </w:t>
      </w:r>
      <w:r w:rsidR="00606E2E" w:rsidRPr="00EC7327">
        <w:rPr>
          <w:rFonts w:cs="Arial"/>
          <w:sz w:val="20"/>
          <w:szCs w:val="20"/>
        </w:rPr>
        <w:t>l</w:t>
      </w:r>
      <w:r w:rsidRPr="00EC7327">
        <w:rPr>
          <w:rFonts w:cs="Arial"/>
          <w:sz w:val="20"/>
          <w:szCs w:val="20"/>
        </w:rPr>
        <w:t>a elaboración de la Liquidación Físic</w:t>
      </w:r>
      <w:r w:rsidR="003E19E4" w:rsidRPr="00EC7327">
        <w:rPr>
          <w:rFonts w:cs="Arial"/>
          <w:sz w:val="20"/>
          <w:szCs w:val="20"/>
        </w:rPr>
        <w:t>a</w:t>
      </w:r>
      <w:r w:rsidRPr="00EC7327">
        <w:rPr>
          <w:rFonts w:cs="Arial"/>
          <w:sz w:val="20"/>
          <w:szCs w:val="20"/>
        </w:rPr>
        <w:t>-Financier</w:t>
      </w:r>
      <w:r w:rsidR="003E19E4" w:rsidRPr="00EC7327">
        <w:rPr>
          <w:rFonts w:cs="Arial"/>
          <w:sz w:val="20"/>
          <w:szCs w:val="20"/>
        </w:rPr>
        <w:t>a</w:t>
      </w:r>
      <w:r w:rsidRPr="00EC7327">
        <w:rPr>
          <w:rFonts w:cs="Arial"/>
          <w:sz w:val="20"/>
          <w:szCs w:val="20"/>
        </w:rPr>
        <w:t xml:space="preserve"> suscrito por los funcionarios responsables. </w:t>
      </w:r>
      <w:r w:rsidR="00AB2A43" w:rsidRPr="00EC7327">
        <w:rPr>
          <w:rFonts w:cs="Arial"/>
          <w:sz w:val="20"/>
          <w:szCs w:val="20"/>
        </w:rPr>
        <w:t xml:space="preserve">En la programación del PIP de emergencia debe tenerse en cuenta el período de ocurrencia de </w:t>
      </w:r>
      <w:r w:rsidR="00B144F3" w:rsidRPr="00EC7327">
        <w:rPr>
          <w:rFonts w:cs="Arial"/>
          <w:sz w:val="20"/>
          <w:szCs w:val="20"/>
        </w:rPr>
        <w:t>precipitaciones</w:t>
      </w:r>
      <w:r w:rsidR="00AB2A43" w:rsidRPr="00EC7327">
        <w:rPr>
          <w:rFonts w:cs="Arial"/>
          <w:sz w:val="20"/>
          <w:szCs w:val="20"/>
        </w:rPr>
        <w:t xml:space="preserve"> pluviales, que puedan afectar la calidad y posibilidad de ejecución del proceso constructivo.</w:t>
      </w:r>
      <w:r w:rsidR="00CA1FDF" w:rsidRPr="00EC7327">
        <w:rPr>
          <w:rFonts w:cs="Arial"/>
          <w:sz w:val="20"/>
          <w:szCs w:val="20"/>
        </w:rPr>
        <w:t xml:space="preserve"> De preferencia utilizar un diagrama de Gantt.</w:t>
      </w:r>
    </w:p>
    <w:p w:rsidR="00821F7B" w:rsidRPr="00EC7327" w:rsidRDefault="00821F7B" w:rsidP="00821F7B">
      <w:pPr>
        <w:pStyle w:val="Default"/>
        <w:rPr>
          <w:lang w:val="es-PE"/>
        </w:rPr>
      </w:pPr>
    </w:p>
    <w:p w:rsidR="00821F7B" w:rsidRPr="00EC7327" w:rsidRDefault="00821F7B" w:rsidP="00821F7B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PLAZO DE EJECUCIÓN DEL PIP DE EMERGENCIA POR PELIGRO INMINENTE.</w:t>
      </w:r>
    </w:p>
    <w:p w:rsidR="00821F7B" w:rsidRPr="00EC7327" w:rsidRDefault="00821F7B" w:rsidP="00821F7B">
      <w:pPr>
        <w:pStyle w:val="Default"/>
        <w:rPr>
          <w:lang w:val="es-PE"/>
        </w:rPr>
      </w:pPr>
    </w:p>
    <w:p w:rsidR="00821F7B" w:rsidRPr="00EC7327" w:rsidRDefault="00821F7B" w:rsidP="003275A5">
      <w:pPr>
        <w:pStyle w:val="Default"/>
        <w:ind w:left="567"/>
        <w:jc w:val="both"/>
        <w:rPr>
          <w:lang w:val="es-PE"/>
        </w:rPr>
      </w:pPr>
      <w:r w:rsidRPr="00EC7327">
        <w:rPr>
          <w:rFonts w:cs="Arial"/>
          <w:sz w:val="20"/>
          <w:szCs w:val="20"/>
          <w:lang w:val="es-PE"/>
        </w:rPr>
        <w:t xml:space="preserve">Consignar el plazo de la ejecución del PIP de emergencia por Peligro Inminente. </w:t>
      </w:r>
      <w:r w:rsidR="003275A5" w:rsidRPr="00EC7327">
        <w:rPr>
          <w:rFonts w:cs="Arial"/>
          <w:sz w:val="20"/>
          <w:szCs w:val="20"/>
        </w:rPr>
        <w:t xml:space="preserve">Se deberá tener en cuenta la presentación de </w:t>
      </w:r>
      <w:smartTag w:uri="urn:schemas-microsoft-com:office:smarttags" w:element="PersonName">
        <w:smartTagPr>
          <w:attr w:name="ProductID" w:val="la “Ficha"/>
        </w:smartTagPr>
        <w:r w:rsidR="003275A5" w:rsidRPr="00EC7327">
          <w:rPr>
            <w:rFonts w:cs="Arial"/>
            <w:sz w:val="20"/>
            <w:szCs w:val="20"/>
          </w:rPr>
          <w:t>la “Ficha</w:t>
        </w:r>
      </w:smartTag>
      <w:r w:rsidR="003275A5" w:rsidRPr="00EC7327">
        <w:rPr>
          <w:rFonts w:cs="Arial"/>
          <w:sz w:val="20"/>
          <w:szCs w:val="20"/>
        </w:rPr>
        <w:t xml:space="preserve"> de Ejecución del PIP de Emergencia” de acuerdo a lo establecido en el ítem 7.3 de este Instructivo, respecto a los plazos de ejecución. </w:t>
      </w:r>
      <w:r w:rsidRPr="00EC7327">
        <w:rPr>
          <w:rFonts w:cs="Arial"/>
          <w:sz w:val="20"/>
          <w:szCs w:val="20"/>
          <w:lang w:val="es-PE"/>
        </w:rPr>
        <w:t>Los PIP para este tipo de atención deben ejecutarse y culminarse física y financieramente en un plazo máximo de seis (6) meses, comprendiendo todos los procesos técnicos y administrativos correspondientes.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EC7327" w:rsidRDefault="009348D6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>RELACIÓN</w:t>
      </w:r>
      <w:r w:rsidR="00AB2A43" w:rsidRPr="00EC7327">
        <w:rPr>
          <w:rStyle w:val="EstiloArial10ptNegritaNegro"/>
          <w:rFonts w:ascii="Arial Narrow" w:hAnsi="Arial Narrow"/>
          <w:b/>
          <w:bCs/>
        </w:rPr>
        <w:t xml:space="preserve"> DE DOCUMENTOS SUSTENT</w:t>
      </w:r>
      <w:r w:rsidR="00F76A4E" w:rsidRPr="00EC7327">
        <w:rPr>
          <w:rStyle w:val="EstiloArial10ptNegritaNegro"/>
          <w:rFonts w:ascii="Arial Narrow" w:hAnsi="Arial Narrow"/>
          <w:b/>
          <w:bCs/>
        </w:rPr>
        <w:t>O</w:t>
      </w:r>
      <w:r w:rsidR="00AB2A43" w:rsidRPr="00EC7327">
        <w:rPr>
          <w:rStyle w:val="EstiloArial10ptNegritaNegro"/>
          <w:rFonts w:ascii="Arial Narrow" w:hAnsi="Arial Narrow"/>
          <w:b/>
          <w:bCs/>
        </w:rPr>
        <w:t xml:space="preserve">RIOS QUE SE ADJUNTAN A LA PRESENTE FICHA TÉCNICA </w:t>
      </w:r>
      <w:r w:rsidR="00606E2E" w:rsidRPr="00EC7327">
        <w:rPr>
          <w:rStyle w:val="EstiloArial10ptNegritaNegro"/>
          <w:rFonts w:ascii="Arial Narrow" w:hAnsi="Arial Narrow"/>
          <w:b/>
          <w:bCs/>
        </w:rPr>
        <w:t xml:space="preserve">DEL PIP DE EMERGENCIA POR </w:t>
      </w:r>
      <w:r w:rsidR="00C86B54" w:rsidRPr="00EC7327">
        <w:rPr>
          <w:rStyle w:val="EstiloArial10ptNegritaNegro"/>
          <w:rFonts w:ascii="Arial Narrow" w:hAnsi="Arial Narrow"/>
          <w:b/>
          <w:bCs/>
        </w:rPr>
        <w:t>PELIGRO INMINENTE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8E21B7" w:rsidRPr="00EC7327" w:rsidRDefault="008E21B7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Presentar debidamente foliado adjuntos a la Ficha Técnica del PIP de Emergencia, los documentos sustentatorios como: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606E2E" w:rsidRPr="00EC7327" w:rsidRDefault="006A1B0F" w:rsidP="000C720F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Copia del </w:t>
      </w:r>
      <w:r w:rsidR="003C434B" w:rsidRPr="00EC7327">
        <w:rPr>
          <w:rFonts w:cs="Arial"/>
          <w:sz w:val="20"/>
          <w:szCs w:val="20"/>
        </w:rPr>
        <w:t xml:space="preserve">Informe de </w:t>
      </w:r>
      <w:r w:rsidR="006D63F9" w:rsidRPr="00EC7327">
        <w:rPr>
          <w:rFonts w:cs="Arial"/>
          <w:sz w:val="20"/>
          <w:szCs w:val="20"/>
        </w:rPr>
        <w:t>Estimación</w:t>
      </w:r>
      <w:r w:rsidR="00F26835" w:rsidRPr="00EC7327">
        <w:rPr>
          <w:rFonts w:cs="Arial"/>
          <w:sz w:val="20"/>
          <w:szCs w:val="20"/>
        </w:rPr>
        <w:t xml:space="preserve"> del </w:t>
      </w:r>
      <w:r w:rsidR="006D63F9" w:rsidRPr="00EC7327">
        <w:rPr>
          <w:rFonts w:cs="Arial"/>
          <w:sz w:val="20"/>
          <w:szCs w:val="20"/>
        </w:rPr>
        <w:t>R</w:t>
      </w:r>
      <w:r w:rsidR="00F26835" w:rsidRPr="00EC7327">
        <w:rPr>
          <w:rFonts w:cs="Arial"/>
          <w:sz w:val="20"/>
          <w:szCs w:val="20"/>
        </w:rPr>
        <w:t>iesgo (Ed</w:t>
      </w:r>
      <w:r w:rsidR="00606E2E" w:rsidRPr="00EC7327">
        <w:rPr>
          <w:rFonts w:cs="Arial"/>
          <w:sz w:val="20"/>
          <w:szCs w:val="20"/>
        </w:rPr>
        <w:t>R).</w:t>
      </w:r>
    </w:p>
    <w:p w:rsidR="008E21B7" w:rsidRPr="00EC7327" w:rsidRDefault="006A1B0F" w:rsidP="008E21B7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C</w:t>
      </w:r>
      <w:r w:rsidR="008E21B7" w:rsidRPr="00EC7327">
        <w:rPr>
          <w:rFonts w:cs="Arial"/>
          <w:sz w:val="20"/>
          <w:szCs w:val="20"/>
        </w:rPr>
        <w:t>opia del informe técnico científico, emitido por la entidad pública Técnico-Científica competente.</w:t>
      </w:r>
    </w:p>
    <w:p w:rsidR="008E21B7" w:rsidRPr="00EC7327" w:rsidRDefault="008E21B7" w:rsidP="008E21B7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Presupuesto detallado de la obra. Análisis de precios unitarios y planilla de metrados de la obra</w:t>
      </w:r>
      <w:r w:rsidR="004B6F16" w:rsidRPr="00EC7327">
        <w:rPr>
          <w:rFonts w:cs="Arial"/>
          <w:sz w:val="20"/>
          <w:szCs w:val="20"/>
        </w:rPr>
        <w:t>.</w:t>
      </w:r>
    </w:p>
    <w:p w:rsidR="008E21B7" w:rsidRPr="00EC7327" w:rsidRDefault="008E21B7" w:rsidP="008E21B7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Fotos que sustenten el peligro inminente por ocurrir asociado con la infraestructura pública vulnerable a proteger</w:t>
      </w:r>
    </w:p>
    <w:p w:rsidR="008E21B7" w:rsidRPr="00EC7327" w:rsidRDefault="008E21B7" w:rsidP="008E21B7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Croquis de ubicación que considere la infraestructura pública vulnerable y el ámbito de influencia del peligro inminente.</w:t>
      </w:r>
    </w:p>
    <w:p w:rsidR="008E21B7" w:rsidRPr="00EC7327" w:rsidRDefault="008E21B7" w:rsidP="008E21B7">
      <w:pPr>
        <w:numPr>
          <w:ilvl w:val="0"/>
          <w:numId w:val="23"/>
        </w:numPr>
        <w:tabs>
          <w:tab w:val="left" w:pos="851"/>
        </w:tabs>
        <w:ind w:left="851" w:right="-1" w:hanging="284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>Otros documentos que sustenten la solicitud.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6B0113" w:rsidRPr="00EC7327" w:rsidRDefault="006B0113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>FECHA DE ELABORACIÓN DE LA PRESENTE FICHA TÉCNICA DEL PIP DE EMERGENCIA</w:t>
      </w:r>
      <w:r w:rsidR="00551986" w:rsidRPr="00EC7327">
        <w:rPr>
          <w:rStyle w:val="EstiloArial10ptNegritaNegro"/>
          <w:rFonts w:ascii="Arial Narrow" w:hAnsi="Arial Narrow"/>
          <w:b/>
          <w:bCs/>
        </w:rPr>
        <w:t xml:space="preserve"> POR </w:t>
      </w:r>
      <w:r w:rsidR="00C86B54" w:rsidRPr="00EC7327">
        <w:rPr>
          <w:rStyle w:val="EstiloArial10ptNegritaNegro"/>
          <w:rFonts w:ascii="Arial Narrow" w:hAnsi="Arial Narrow"/>
          <w:b/>
          <w:bCs/>
        </w:rPr>
        <w:t>PELIGRO INMINENTE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551986" w:rsidRPr="00EC7327" w:rsidRDefault="006B0113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Se deberá </w:t>
      </w:r>
      <w:r w:rsidR="009E5BB5" w:rsidRPr="00EC7327">
        <w:rPr>
          <w:rFonts w:cs="Arial"/>
          <w:sz w:val="20"/>
          <w:szCs w:val="20"/>
        </w:rPr>
        <w:t xml:space="preserve">consignar la </w:t>
      </w:r>
      <w:r w:rsidR="000C720F" w:rsidRPr="00EC7327">
        <w:rPr>
          <w:rFonts w:cs="Arial"/>
          <w:sz w:val="20"/>
          <w:szCs w:val="20"/>
        </w:rPr>
        <w:t>fecha que</w:t>
      </w:r>
      <w:r w:rsidRPr="00EC7327">
        <w:rPr>
          <w:rFonts w:cs="Arial"/>
          <w:sz w:val="20"/>
          <w:szCs w:val="20"/>
        </w:rPr>
        <w:t xml:space="preserve"> se elaboró la ficha técnica del PIP de emergencia</w:t>
      </w:r>
      <w:r w:rsidR="009E5BB5" w:rsidRPr="00EC7327">
        <w:rPr>
          <w:rFonts w:cs="Arial"/>
          <w:sz w:val="20"/>
          <w:szCs w:val="20"/>
        </w:rPr>
        <w:t xml:space="preserve"> por </w:t>
      </w:r>
      <w:r w:rsidR="00C86B54" w:rsidRPr="00EC7327">
        <w:rPr>
          <w:rFonts w:cs="Arial"/>
          <w:sz w:val="20"/>
          <w:szCs w:val="20"/>
        </w:rPr>
        <w:t>Peligro Inminente</w:t>
      </w:r>
      <w:r w:rsidR="00551986" w:rsidRPr="00EC7327">
        <w:rPr>
          <w:rFonts w:cs="Arial"/>
          <w:sz w:val="20"/>
          <w:szCs w:val="20"/>
        </w:rPr>
        <w:t>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B73BA4" w:rsidRPr="00EC7327" w:rsidRDefault="00DD1729" w:rsidP="00511FED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</w:rPr>
      </w:pPr>
      <w:r w:rsidRPr="00EC7327">
        <w:rPr>
          <w:rStyle w:val="EstiloArial10ptNegritaNegro"/>
          <w:rFonts w:ascii="Arial Narrow" w:hAnsi="Arial Narrow"/>
          <w:b/>
          <w:bCs/>
        </w:rPr>
        <w:t>FUNCIONARIOS DE LA ENTIDAD PÚBLICA QUE PRESENTAN Y EJECUTAN EL PIP DE EMERGENCIA</w:t>
      </w:r>
    </w:p>
    <w:p w:rsidR="00511FED" w:rsidRPr="00EC7327" w:rsidRDefault="00511FED" w:rsidP="00511FED">
      <w:pPr>
        <w:ind w:left="567" w:right="-141"/>
        <w:jc w:val="both"/>
        <w:rPr>
          <w:rFonts w:cs="Arial"/>
          <w:sz w:val="20"/>
          <w:szCs w:val="20"/>
        </w:rPr>
      </w:pPr>
    </w:p>
    <w:p w:rsidR="00AB2A43" w:rsidRPr="00EC7327" w:rsidRDefault="00AB2A43" w:rsidP="00511FED">
      <w:pPr>
        <w:ind w:left="567" w:right="-141"/>
        <w:jc w:val="both"/>
        <w:rPr>
          <w:rFonts w:cs="Arial"/>
          <w:sz w:val="20"/>
          <w:szCs w:val="20"/>
        </w:rPr>
      </w:pPr>
      <w:r w:rsidRPr="00EC7327">
        <w:rPr>
          <w:rFonts w:cs="Arial"/>
          <w:sz w:val="20"/>
          <w:szCs w:val="20"/>
        </w:rPr>
        <w:t xml:space="preserve">Los funcionarios responsables identificados en el </w:t>
      </w:r>
      <w:r w:rsidR="000B0DF9" w:rsidRPr="00EC7327">
        <w:rPr>
          <w:rFonts w:cs="Arial"/>
          <w:sz w:val="20"/>
          <w:szCs w:val="20"/>
        </w:rPr>
        <w:t xml:space="preserve">presente </w:t>
      </w:r>
      <w:r w:rsidRPr="00EC7327">
        <w:rPr>
          <w:rFonts w:cs="Arial"/>
          <w:sz w:val="20"/>
          <w:szCs w:val="20"/>
        </w:rPr>
        <w:t>ítem, deben suscribir la Ficha Técnica de PIP de Emergencia</w:t>
      </w:r>
      <w:r w:rsidR="007F2B16" w:rsidRPr="00EC7327">
        <w:rPr>
          <w:rFonts w:cs="Arial"/>
          <w:sz w:val="20"/>
          <w:szCs w:val="20"/>
        </w:rPr>
        <w:t xml:space="preserve"> por peligro inminente,</w:t>
      </w:r>
      <w:r w:rsidRPr="00EC7327">
        <w:rPr>
          <w:rFonts w:cs="Arial"/>
          <w:sz w:val="20"/>
          <w:szCs w:val="20"/>
        </w:rPr>
        <w:t xml:space="preserve"> colocando sus firmas y sellos en los </w:t>
      </w:r>
      <w:r w:rsidR="00C76D4F" w:rsidRPr="00EC7327">
        <w:rPr>
          <w:rFonts w:cs="Arial"/>
          <w:sz w:val="20"/>
          <w:szCs w:val="20"/>
        </w:rPr>
        <w:t>cuadro</w:t>
      </w:r>
      <w:r w:rsidRPr="00EC7327">
        <w:rPr>
          <w:rFonts w:cs="Arial"/>
          <w:sz w:val="20"/>
          <w:szCs w:val="20"/>
        </w:rPr>
        <w:t>s dispuestos para dicho fin. Asimismo</w:t>
      </w:r>
      <w:r w:rsidR="00F561FE" w:rsidRPr="00EC7327">
        <w:rPr>
          <w:rFonts w:cs="Arial"/>
          <w:sz w:val="20"/>
          <w:szCs w:val="20"/>
        </w:rPr>
        <w:t xml:space="preserve">, el </w:t>
      </w:r>
      <w:r w:rsidR="00E43438" w:rsidRPr="00EC7327">
        <w:rPr>
          <w:rFonts w:cs="Arial"/>
          <w:sz w:val="20"/>
          <w:szCs w:val="20"/>
        </w:rPr>
        <w:t xml:space="preserve">Jefe o </w:t>
      </w:r>
      <w:r w:rsidR="00F561FE" w:rsidRPr="00EC7327">
        <w:rPr>
          <w:rFonts w:cs="Arial"/>
          <w:sz w:val="20"/>
          <w:szCs w:val="20"/>
        </w:rPr>
        <w:t>responsable de la O</w:t>
      </w:r>
      <w:r w:rsidR="00E43438" w:rsidRPr="00EC7327">
        <w:rPr>
          <w:rFonts w:cs="Arial"/>
          <w:sz w:val="20"/>
          <w:szCs w:val="20"/>
        </w:rPr>
        <w:t xml:space="preserve">ficina de Programación de </w:t>
      </w:r>
      <w:r w:rsidR="00F561FE" w:rsidRPr="00EC7327">
        <w:rPr>
          <w:rFonts w:cs="Arial"/>
          <w:sz w:val="20"/>
          <w:szCs w:val="20"/>
        </w:rPr>
        <w:t>I</w:t>
      </w:r>
      <w:r w:rsidR="00E43438" w:rsidRPr="00EC7327">
        <w:rPr>
          <w:rFonts w:cs="Arial"/>
          <w:sz w:val="20"/>
          <w:szCs w:val="20"/>
        </w:rPr>
        <w:t>nversiones</w:t>
      </w:r>
      <w:r w:rsidR="00F561FE" w:rsidRPr="00EC7327">
        <w:rPr>
          <w:rFonts w:cs="Arial"/>
          <w:sz w:val="20"/>
          <w:szCs w:val="20"/>
        </w:rPr>
        <w:t xml:space="preserve"> del Sector </w:t>
      </w:r>
      <w:r w:rsidR="00F26835" w:rsidRPr="00EC7327">
        <w:rPr>
          <w:rFonts w:cs="Arial"/>
          <w:sz w:val="20"/>
          <w:szCs w:val="20"/>
        </w:rPr>
        <w:t>del Gobierno Nacional</w:t>
      </w:r>
      <w:r w:rsidR="007532A1">
        <w:rPr>
          <w:rFonts w:cs="Arial"/>
          <w:sz w:val="20"/>
          <w:szCs w:val="20"/>
        </w:rPr>
        <w:t xml:space="preserve">, </w:t>
      </w:r>
      <w:r w:rsidR="0037539B" w:rsidRPr="00EC7327">
        <w:rPr>
          <w:rFonts w:cs="Arial"/>
          <w:sz w:val="20"/>
          <w:szCs w:val="20"/>
        </w:rPr>
        <w:t>Gobierno</w:t>
      </w:r>
      <w:r w:rsidR="00F561FE" w:rsidRPr="00EC7327">
        <w:rPr>
          <w:rFonts w:cs="Arial"/>
          <w:sz w:val="20"/>
          <w:szCs w:val="20"/>
        </w:rPr>
        <w:t xml:space="preserve"> </w:t>
      </w:r>
      <w:r w:rsidR="0037539B" w:rsidRPr="00EC7327">
        <w:rPr>
          <w:rFonts w:cs="Arial"/>
          <w:sz w:val="20"/>
          <w:szCs w:val="20"/>
        </w:rPr>
        <w:t>Regional</w:t>
      </w:r>
      <w:r w:rsidR="007532A1">
        <w:rPr>
          <w:rFonts w:cs="Arial"/>
          <w:sz w:val="20"/>
          <w:szCs w:val="20"/>
        </w:rPr>
        <w:t xml:space="preserve"> o Gobierno Local</w:t>
      </w:r>
      <w:r w:rsidR="00F561FE" w:rsidRPr="00EC7327">
        <w:rPr>
          <w:rFonts w:cs="Arial"/>
          <w:sz w:val="20"/>
          <w:szCs w:val="20"/>
        </w:rPr>
        <w:t xml:space="preserve"> </w:t>
      </w:r>
      <w:r w:rsidRPr="00EC7327">
        <w:rPr>
          <w:rFonts w:cs="Arial"/>
          <w:sz w:val="20"/>
          <w:szCs w:val="20"/>
        </w:rPr>
        <w:t>debe</w:t>
      </w:r>
      <w:r w:rsidR="00F561FE" w:rsidRPr="00EC7327">
        <w:rPr>
          <w:rFonts w:cs="Arial"/>
          <w:sz w:val="20"/>
          <w:szCs w:val="20"/>
        </w:rPr>
        <w:t>rá</w:t>
      </w:r>
      <w:r w:rsidRPr="00EC7327">
        <w:rPr>
          <w:rFonts w:cs="Arial"/>
          <w:sz w:val="20"/>
          <w:szCs w:val="20"/>
        </w:rPr>
        <w:t xml:space="preserve"> visar todas las </w:t>
      </w:r>
      <w:r w:rsidR="00DA178E" w:rsidRPr="00EC7327">
        <w:rPr>
          <w:rFonts w:cs="Arial"/>
          <w:sz w:val="20"/>
          <w:szCs w:val="20"/>
        </w:rPr>
        <w:t xml:space="preserve">páginas </w:t>
      </w:r>
      <w:r w:rsidR="00F561FE" w:rsidRPr="00EC7327">
        <w:rPr>
          <w:rFonts w:cs="Arial"/>
          <w:sz w:val="20"/>
          <w:szCs w:val="20"/>
        </w:rPr>
        <w:t>de</w:t>
      </w:r>
      <w:r w:rsidRPr="00EC7327">
        <w:rPr>
          <w:rFonts w:cs="Arial"/>
          <w:sz w:val="20"/>
          <w:szCs w:val="20"/>
        </w:rPr>
        <w:t xml:space="preserve"> la Ficha Técnica de PIP de Emergencia, otorgando </w:t>
      </w:r>
      <w:r w:rsidR="00DA178E" w:rsidRPr="00EC7327">
        <w:rPr>
          <w:rFonts w:cs="Arial"/>
          <w:sz w:val="20"/>
          <w:szCs w:val="20"/>
        </w:rPr>
        <w:t>su</w:t>
      </w:r>
      <w:r w:rsidR="00954685" w:rsidRPr="00EC7327">
        <w:rPr>
          <w:rFonts w:cs="Arial"/>
          <w:sz w:val="20"/>
          <w:szCs w:val="20"/>
        </w:rPr>
        <w:t xml:space="preserve"> conformidad respectiva.</w:t>
      </w:r>
    </w:p>
    <w:p w:rsidR="00511FED" w:rsidRPr="00EC7327" w:rsidRDefault="00511FED" w:rsidP="00511FED">
      <w:pPr>
        <w:pStyle w:val="Default"/>
        <w:rPr>
          <w:lang w:val="es-PE"/>
        </w:rPr>
      </w:pPr>
    </w:p>
    <w:p w:rsidR="00AB2A43" w:rsidRPr="001F763D" w:rsidRDefault="00135FDF" w:rsidP="00511FED">
      <w:pPr>
        <w:pStyle w:val="Default"/>
        <w:ind w:left="567" w:right="-141" w:firstLine="3"/>
        <w:jc w:val="both"/>
        <w:rPr>
          <w:rFonts w:cs="Arial"/>
          <w:color w:val="auto"/>
          <w:sz w:val="20"/>
          <w:szCs w:val="20"/>
          <w:lang w:val="es-PE"/>
        </w:rPr>
      </w:pPr>
      <w:r w:rsidRPr="00EC7327">
        <w:rPr>
          <w:rFonts w:cs="Arial"/>
          <w:color w:val="auto"/>
          <w:sz w:val="20"/>
          <w:szCs w:val="20"/>
          <w:lang w:val="es-PE"/>
        </w:rPr>
        <w:t xml:space="preserve">Toda la información suscrita en la Ficha Técnica de PIP de Emergencia por </w:t>
      </w:r>
      <w:r w:rsidR="00C86B54" w:rsidRPr="00EC7327">
        <w:rPr>
          <w:rFonts w:cs="Arial"/>
          <w:color w:val="auto"/>
          <w:sz w:val="20"/>
          <w:szCs w:val="20"/>
          <w:lang w:val="es-PE"/>
        </w:rPr>
        <w:t>Peligro Inminente</w:t>
      </w:r>
      <w:r w:rsidRPr="00EC7327">
        <w:rPr>
          <w:rFonts w:cs="Arial"/>
          <w:color w:val="auto"/>
          <w:sz w:val="20"/>
          <w:szCs w:val="20"/>
          <w:lang w:val="es-PE"/>
        </w:rPr>
        <w:t>, tiene carácter de Declaración Jurada, bajo responsabilidad de los funcionarios que la suscriben y remiten; por lo que se sujetan a las responsabilidades que la legislación determina.</w:t>
      </w:r>
    </w:p>
    <w:sectPr w:rsidR="00AB2A43" w:rsidRPr="001F763D" w:rsidSect="0085567C">
      <w:headerReference w:type="default" r:id="rId8"/>
      <w:footerReference w:type="even" r:id="rId9"/>
      <w:footerReference w:type="default" r:id="rId10"/>
      <w:type w:val="continuous"/>
      <w:pgSz w:w="11907" w:h="16839" w:code="9"/>
      <w:pgMar w:top="1418" w:right="1418" w:bottom="851" w:left="1418" w:header="624" w:footer="45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54" w:rsidRDefault="00317754">
      <w:r>
        <w:separator/>
      </w:r>
    </w:p>
  </w:endnote>
  <w:endnote w:type="continuationSeparator" w:id="0">
    <w:p w:rsidR="00317754" w:rsidRDefault="0031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89" w:rsidRDefault="00874C62" w:rsidP="006275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01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0189" w:rsidRDefault="009B0189" w:rsidP="009B01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C5" w:rsidRDefault="00317754" w:rsidP="002242C5">
    <w:pPr>
      <w:pStyle w:val="Piedepgina"/>
    </w:pPr>
    <w:r>
      <w:rPr>
        <w:noProof/>
        <w:lang w:eastAsia="es-PE"/>
      </w:rPr>
    </w:r>
    <w:r>
      <w:rPr>
        <w:noProof/>
        <w:lang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width:448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weight="1.75pt">
          <w10:wrap type="none"/>
          <w10:anchorlock/>
        </v:shape>
      </w:pict>
    </w:r>
  </w:p>
  <w:p w:rsidR="002242C5" w:rsidRPr="00957AF3" w:rsidRDefault="00874C62" w:rsidP="000D6B4E">
    <w:pPr>
      <w:pStyle w:val="Piedepgina"/>
      <w:tabs>
        <w:tab w:val="clear" w:pos="8504"/>
        <w:tab w:val="right" w:pos="8222"/>
      </w:tabs>
      <w:ind w:right="140"/>
      <w:jc w:val="right"/>
      <w:rPr>
        <w:sz w:val="18"/>
        <w:szCs w:val="18"/>
      </w:rPr>
    </w:pPr>
    <w:r w:rsidRPr="00957AF3">
      <w:rPr>
        <w:sz w:val="18"/>
        <w:szCs w:val="18"/>
      </w:rPr>
      <w:fldChar w:fldCharType="begin"/>
    </w:r>
    <w:r w:rsidR="002242C5" w:rsidRPr="00957AF3">
      <w:rPr>
        <w:sz w:val="18"/>
        <w:szCs w:val="18"/>
      </w:rPr>
      <w:instrText xml:space="preserve"> PAGE   \* MERGEFORMAT </w:instrText>
    </w:r>
    <w:r w:rsidRPr="00957AF3">
      <w:rPr>
        <w:sz w:val="18"/>
        <w:szCs w:val="18"/>
      </w:rPr>
      <w:fldChar w:fldCharType="separate"/>
    </w:r>
    <w:r w:rsidR="000A6532">
      <w:rPr>
        <w:noProof/>
        <w:sz w:val="18"/>
        <w:szCs w:val="18"/>
      </w:rPr>
      <w:t>5</w:t>
    </w:r>
    <w:r w:rsidRPr="00957AF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54" w:rsidRDefault="00317754">
      <w:r>
        <w:separator/>
      </w:r>
    </w:p>
  </w:footnote>
  <w:footnote w:type="continuationSeparator" w:id="0">
    <w:p w:rsidR="00317754" w:rsidRDefault="00317754">
      <w:r>
        <w:continuationSeparator/>
      </w:r>
    </w:p>
  </w:footnote>
  <w:footnote w:id="1">
    <w:p w:rsidR="000908FA" w:rsidRDefault="000908FA" w:rsidP="001A1AA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1A1AA2">
        <w:rPr>
          <w:rFonts w:ascii="Arial" w:hAnsi="Arial" w:cs="Arial"/>
          <w:sz w:val="14"/>
          <w:szCs w:val="14"/>
        </w:rPr>
        <w:t xml:space="preserve">Denominación </w:t>
      </w:r>
      <w:r w:rsidR="00EB7334" w:rsidRPr="001A1AA2">
        <w:rPr>
          <w:rFonts w:ascii="Arial" w:hAnsi="Arial" w:cs="Arial"/>
          <w:sz w:val="14"/>
          <w:szCs w:val="14"/>
        </w:rPr>
        <w:t>de Unidad Ejecutora:</w:t>
      </w:r>
      <w:r w:rsidR="00EB7334" w:rsidRPr="001A1AA2">
        <w:rPr>
          <w:rFonts w:ascii="Arial" w:hAnsi="Arial" w:cs="Arial"/>
          <w:color w:val="303030"/>
          <w:sz w:val="14"/>
          <w:szCs w:val="14"/>
        </w:rPr>
        <w:t xml:space="preserve"> Constituye el nivel descentralizado u operativo en las entidades públicas. Una Unidad Ejecutora cuenta con un nivel de desconcentración</w:t>
      </w:r>
      <w:r w:rsidR="00EB7334">
        <w:rPr>
          <w:rFonts w:ascii="Arial" w:hAnsi="Arial" w:cs="Arial"/>
          <w:color w:val="303030"/>
          <w:sz w:val="14"/>
          <w:szCs w:val="14"/>
        </w:rPr>
        <w:t xml:space="preserve"> administrativa que: contrae compromisos, devenga gastos y ordena pagos con arreglo a la legislación aplicable; registra la información generada por las acciones y operaciones realizadas; informa sobre el avance y/o cumplimiento de metas; tomado del glosario de Presupuesto Público</w:t>
      </w:r>
      <w:r w:rsidR="001A1AA2">
        <w:rPr>
          <w:rFonts w:ascii="Arial" w:hAnsi="Arial" w:cs="Arial"/>
          <w:color w:val="303030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F3" w:rsidRDefault="00957AF3" w:rsidP="00684782">
    <w:pPr>
      <w:pStyle w:val="Encabezado"/>
      <w:jc w:val="right"/>
      <w:rPr>
        <w:rFonts w:cs="Arial"/>
        <w:b/>
        <w:bCs/>
        <w:sz w:val="16"/>
        <w:szCs w:val="16"/>
      </w:rPr>
    </w:pPr>
    <w:r w:rsidRPr="00957AF3">
      <w:rPr>
        <w:rFonts w:cs="Arial"/>
        <w:b/>
        <w:bCs/>
        <w:sz w:val="16"/>
        <w:szCs w:val="16"/>
      </w:rPr>
      <w:t>I</w:t>
    </w:r>
    <w:r w:rsidR="00684782">
      <w:rPr>
        <w:rFonts w:cs="Arial"/>
        <w:b/>
        <w:bCs/>
        <w:sz w:val="16"/>
        <w:szCs w:val="16"/>
      </w:rPr>
      <w:t xml:space="preserve">nstructivo </w:t>
    </w:r>
    <w:r w:rsidRPr="00957AF3">
      <w:rPr>
        <w:rFonts w:cs="Arial"/>
        <w:b/>
        <w:bCs/>
        <w:sz w:val="16"/>
        <w:szCs w:val="16"/>
      </w:rPr>
      <w:t>F</w:t>
    </w:r>
    <w:r w:rsidR="00684782">
      <w:rPr>
        <w:rFonts w:cs="Arial"/>
        <w:b/>
        <w:bCs/>
        <w:sz w:val="16"/>
        <w:szCs w:val="16"/>
      </w:rPr>
      <w:t xml:space="preserve">icha </w:t>
    </w:r>
    <w:r w:rsidRPr="00957AF3">
      <w:rPr>
        <w:rFonts w:cs="Arial"/>
        <w:b/>
        <w:bCs/>
        <w:sz w:val="16"/>
        <w:szCs w:val="16"/>
      </w:rPr>
      <w:t>N° 02</w:t>
    </w:r>
  </w:p>
  <w:p w:rsidR="00821A7F" w:rsidRPr="00957AF3" w:rsidRDefault="00317754" w:rsidP="00684782">
    <w:pPr>
      <w:pStyle w:val="Encabezado"/>
      <w:jc w:val="right"/>
      <w:rPr>
        <w:sz w:val="16"/>
        <w:szCs w:val="16"/>
      </w:rPr>
    </w:pPr>
    <w:r>
      <w:rPr>
        <w:rFonts w:cs="Arial"/>
        <w:b/>
        <w:bCs/>
        <w:noProof/>
        <w:sz w:val="16"/>
        <w:szCs w:val="16"/>
        <w:lang w:eastAsia="es-PE"/>
      </w:rPr>
    </w:r>
    <w:r>
      <w:rPr>
        <w:rFonts w:cs="Arial"/>
        <w:b/>
        <w:bCs/>
        <w:noProof/>
        <w:sz w:val="16"/>
        <w:szCs w:val="16"/>
        <w:lang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width:452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weight="1.75pt"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5FAA30"/>
    <w:multiLevelType w:val="hybridMultilevel"/>
    <w:tmpl w:val="0F0A0AC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94391E"/>
    <w:multiLevelType w:val="hybridMultilevel"/>
    <w:tmpl w:val="D052681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DF486F7F"/>
    <w:multiLevelType w:val="hybridMultilevel"/>
    <w:tmpl w:val="E685F9E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926EB94"/>
    <w:multiLevelType w:val="hybridMultilevel"/>
    <w:tmpl w:val="FD5D90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6ECB76E"/>
    <w:multiLevelType w:val="hybridMultilevel"/>
    <w:tmpl w:val="971E5F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294FF1"/>
    <w:multiLevelType w:val="multilevel"/>
    <w:tmpl w:val="28DCCE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6">
    <w:nsid w:val="0A952792"/>
    <w:multiLevelType w:val="hybridMultilevel"/>
    <w:tmpl w:val="7ACEB0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822BFB"/>
    <w:multiLevelType w:val="multilevel"/>
    <w:tmpl w:val="F9A2513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EAB002F"/>
    <w:multiLevelType w:val="hybridMultilevel"/>
    <w:tmpl w:val="3DF106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5323886"/>
    <w:multiLevelType w:val="hybridMultilevel"/>
    <w:tmpl w:val="639F866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77923FD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0144EDD"/>
    <w:multiLevelType w:val="multilevel"/>
    <w:tmpl w:val="6532C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>
    <w:nsid w:val="2BF0485E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49B6E37"/>
    <w:multiLevelType w:val="multilevel"/>
    <w:tmpl w:val="7D1AD56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80F655C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8597EB3"/>
    <w:multiLevelType w:val="hybridMultilevel"/>
    <w:tmpl w:val="E395DB4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A63D65"/>
    <w:multiLevelType w:val="hybridMultilevel"/>
    <w:tmpl w:val="3FC283A6"/>
    <w:lvl w:ilvl="0" w:tplc="CB728F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D0802"/>
    <w:multiLevelType w:val="multilevel"/>
    <w:tmpl w:val="C6D468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33C05D8"/>
    <w:multiLevelType w:val="multilevel"/>
    <w:tmpl w:val="B93CB3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19">
    <w:nsid w:val="46B25B7F"/>
    <w:multiLevelType w:val="multilevel"/>
    <w:tmpl w:val="B76414C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07C5E9D"/>
    <w:multiLevelType w:val="hybridMultilevel"/>
    <w:tmpl w:val="9F364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CDD3"/>
    <w:multiLevelType w:val="hybridMultilevel"/>
    <w:tmpl w:val="380422F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56D57812"/>
    <w:multiLevelType w:val="hybridMultilevel"/>
    <w:tmpl w:val="4DA05E2A"/>
    <w:lvl w:ilvl="0" w:tplc="0C28C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59444F"/>
    <w:multiLevelType w:val="multilevel"/>
    <w:tmpl w:val="8EA0049E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15"/>
        </w:tabs>
        <w:ind w:left="27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5"/>
        </w:tabs>
        <w:ind w:left="35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4">
    <w:nsid w:val="5AF9548C"/>
    <w:multiLevelType w:val="hybridMultilevel"/>
    <w:tmpl w:val="F67A6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D6A79"/>
    <w:multiLevelType w:val="multilevel"/>
    <w:tmpl w:val="E510252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3F53F14"/>
    <w:multiLevelType w:val="hybridMultilevel"/>
    <w:tmpl w:val="4E408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670D2"/>
    <w:multiLevelType w:val="hybridMultilevel"/>
    <w:tmpl w:val="9F364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21"/>
  </w:num>
  <w:num w:numId="9">
    <w:abstractNumId w:val="6"/>
  </w:num>
  <w:num w:numId="10">
    <w:abstractNumId w:val="16"/>
  </w:num>
  <w:num w:numId="11">
    <w:abstractNumId w:val="7"/>
  </w:num>
  <w:num w:numId="12">
    <w:abstractNumId w:val="25"/>
  </w:num>
  <w:num w:numId="13">
    <w:abstractNumId w:val="19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23"/>
  </w:num>
  <w:num w:numId="19">
    <w:abstractNumId w:val="18"/>
  </w:num>
  <w:num w:numId="20">
    <w:abstractNumId w:val="20"/>
  </w:num>
  <w:num w:numId="21">
    <w:abstractNumId w:val="24"/>
  </w:num>
  <w:num w:numId="22">
    <w:abstractNumId w:val="22"/>
  </w:num>
  <w:num w:numId="23">
    <w:abstractNumId w:val="27"/>
  </w:num>
  <w:num w:numId="24">
    <w:abstractNumId w:val="26"/>
  </w:num>
  <w:num w:numId="25">
    <w:abstractNumId w:val="17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A43"/>
    <w:rsid w:val="00005BD2"/>
    <w:rsid w:val="0000721C"/>
    <w:rsid w:val="000102ED"/>
    <w:rsid w:val="000112A0"/>
    <w:rsid w:val="000172CF"/>
    <w:rsid w:val="00021DD5"/>
    <w:rsid w:val="000224EB"/>
    <w:rsid w:val="000252BE"/>
    <w:rsid w:val="00030BED"/>
    <w:rsid w:val="000348DA"/>
    <w:rsid w:val="00044511"/>
    <w:rsid w:val="0005134F"/>
    <w:rsid w:val="00051B9C"/>
    <w:rsid w:val="0005717F"/>
    <w:rsid w:val="0006223A"/>
    <w:rsid w:val="0006529C"/>
    <w:rsid w:val="00071716"/>
    <w:rsid w:val="00071ED5"/>
    <w:rsid w:val="00077940"/>
    <w:rsid w:val="000808F6"/>
    <w:rsid w:val="00082BA1"/>
    <w:rsid w:val="00084850"/>
    <w:rsid w:val="00085B0D"/>
    <w:rsid w:val="000908FA"/>
    <w:rsid w:val="00096340"/>
    <w:rsid w:val="000A33EC"/>
    <w:rsid w:val="000A499A"/>
    <w:rsid w:val="000A4F30"/>
    <w:rsid w:val="000A6532"/>
    <w:rsid w:val="000B0DF9"/>
    <w:rsid w:val="000B1EF7"/>
    <w:rsid w:val="000B4A86"/>
    <w:rsid w:val="000B6ED5"/>
    <w:rsid w:val="000C2D1D"/>
    <w:rsid w:val="000C720F"/>
    <w:rsid w:val="000D0BE1"/>
    <w:rsid w:val="000D0D84"/>
    <w:rsid w:val="000D6B4E"/>
    <w:rsid w:val="000E2BAE"/>
    <w:rsid w:val="000E526E"/>
    <w:rsid w:val="00102B3D"/>
    <w:rsid w:val="001103C2"/>
    <w:rsid w:val="001267C1"/>
    <w:rsid w:val="00131C5F"/>
    <w:rsid w:val="00135FDF"/>
    <w:rsid w:val="001366F4"/>
    <w:rsid w:val="00137774"/>
    <w:rsid w:val="00142860"/>
    <w:rsid w:val="00146752"/>
    <w:rsid w:val="0015080C"/>
    <w:rsid w:val="00152284"/>
    <w:rsid w:val="001538F4"/>
    <w:rsid w:val="00164363"/>
    <w:rsid w:val="00167DA7"/>
    <w:rsid w:val="001704B8"/>
    <w:rsid w:val="0018109C"/>
    <w:rsid w:val="001835E5"/>
    <w:rsid w:val="00183D9A"/>
    <w:rsid w:val="001948C9"/>
    <w:rsid w:val="00196444"/>
    <w:rsid w:val="001A154B"/>
    <w:rsid w:val="001A1AA2"/>
    <w:rsid w:val="001A2898"/>
    <w:rsid w:val="001A4BE3"/>
    <w:rsid w:val="001D07F2"/>
    <w:rsid w:val="001D1522"/>
    <w:rsid w:val="001D71A5"/>
    <w:rsid w:val="001E0A2A"/>
    <w:rsid w:val="001E280F"/>
    <w:rsid w:val="001E4270"/>
    <w:rsid w:val="001E5961"/>
    <w:rsid w:val="001E7BE4"/>
    <w:rsid w:val="001F204B"/>
    <w:rsid w:val="001F28CF"/>
    <w:rsid w:val="001F2F79"/>
    <w:rsid w:val="001F763D"/>
    <w:rsid w:val="00202DD2"/>
    <w:rsid w:val="00215C37"/>
    <w:rsid w:val="002203C3"/>
    <w:rsid w:val="00221928"/>
    <w:rsid w:val="002242C5"/>
    <w:rsid w:val="00234481"/>
    <w:rsid w:val="00234E86"/>
    <w:rsid w:val="00237449"/>
    <w:rsid w:val="00240E27"/>
    <w:rsid w:val="00244457"/>
    <w:rsid w:val="00245E11"/>
    <w:rsid w:val="00255687"/>
    <w:rsid w:val="002564BD"/>
    <w:rsid w:val="0026199A"/>
    <w:rsid w:val="0026768D"/>
    <w:rsid w:val="0027052A"/>
    <w:rsid w:val="0027069D"/>
    <w:rsid w:val="00271F8F"/>
    <w:rsid w:val="00276CF0"/>
    <w:rsid w:val="0028062F"/>
    <w:rsid w:val="00287AF8"/>
    <w:rsid w:val="00294B33"/>
    <w:rsid w:val="00297F53"/>
    <w:rsid w:val="002B0750"/>
    <w:rsid w:val="002C6045"/>
    <w:rsid w:val="002D00D5"/>
    <w:rsid w:val="002D34FB"/>
    <w:rsid w:val="002D7526"/>
    <w:rsid w:val="002D7C54"/>
    <w:rsid w:val="002E1856"/>
    <w:rsid w:val="002E7D08"/>
    <w:rsid w:val="002F0A45"/>
    <w:rsid w:val="002F1E32"/>
    <w:rsid w:val="00302E54"/>
    <w:rsid w:val="00303427"/>
    <w:rsid w:val="00313789"/>
    <w:rsid w:val="00315535"/>
    <w:rsid w:val="00317754"/>
    <w:rsid w:val="00324173"/>
    <w:rsid w:val="0032710E"/>
    <w:rsid w:val="003273AB"/>
    <w:rsid w:val="003275A5"/>
    <w:rsid w:val="0033098D"/>
    <w:rsid w:val="00331F73"/>
    <w:rsid w:val="003324DC"/>
    <w:rsid w:val="0034370F"/>
    <w:rsid w:val="00343827"/>
    <w:rsid w:val="00354BE2"/>
    <w:rsid w:val="00360584"/>
    <w:rsid w:val="003622BF"/>
    <w:rsid w:val="00370192"/>
    <w:rsid w:val="003702F6"/>
    <w:rsid w:val="0037539B"/>
    <w:rsid w:val="00396321"/>
    <w:rsid w:val="003A40AD"/>
    <w:rsid w:val="003B231A"/>
    <w:rsid w:val="003B6D39"/>
    <w:rsid w:val="003C434B"/>
    <w:rsid w:val="003C66EE"/>
    <w:rsid w:val="003C6A32"/>
    <w:rsid w:val="003D43CF"/>
    <w:rsid w:val="003E19E4"/>
    <w:rsid w:val="003E303C"/>
    <w:rsid w:val="003E3DDF"/>
    <w:rsid w:val="003F4088"/>
    <w:rsid w:val="00403731"/>
    <w:rsid w:val="00411799"/>
    <w:rsid w:val="00412B60"/>
    <w:rsid w:val="00413FBF"/>
    <w:rsid w:val="00423A72"/>
    <w:rsid w:val="00430782"/>
    <w:rsid w:val="00434CA5"/>
    <w:rsid w:val="00437DFB"/>
    <w:rsid w:val="0044330F"/>
    <w:rsid w:val="004615B4"/>
    <w:rsid w:val="004657F0"/>
    <w:rsid w:val="004665AC"/>
    <w:rsid w:val="00467E08"/>
    <w:rsid w:val="00473213"/>
    <w:rsid w:val="00475F2E"/>
    <w:rsid w:val="0047766E"/>
    <w:rsid w:val="0049019C"/>
    <w:rsid w:val="00494D7C"/>
    <w:rsid w:val="004A0DDD"/>
    <w:rsid w:val="004A4AED"/>
    <w:rsid w:val="004B13FD"/>
    <w:rsid w:val="004B5C7D"/>
    <w:rsid w:val="004B6118"/>
    <w:rsid w:val="004B6F16"/>
    <w:rsid w:val="004C213C"/>
    <w:rsid w:val="004D18C3"/>
    <w:rsid w:val="004D25D2"/>
    <w:rsid w:val="004D3A21"/>
    <w:rsid w:val="004E3DC4"/>
    <w:rsid w:val="004F346A"/>
    <w:rsid w:val="00503408"/>
    <w:rsid w:val="00510FD8"/>
    <w:rsid w:val="00511FED"/>
    <w:rsid w:val="005125D0"/>
    <w:rsid w:val="005204DA"/>
    <w:rsid w:val="005212E2"/>
    <w:rsid w:val="00522F13"/>
    <w:rsid w:val="00527C44"/>
    <w:rsid w:val="005325D8"/>
    <w:rsid w:val="005439AC"/>
    <w:rsid w:val="00545208"/>
    <w:rsid w:val="00551492"/>
    <w:rsid w:val="00551986"/>
    <w:rsid w:val="00552114"/>
    <w:rsid w:val="0055384F"/>
    <w:rsid w:val="00553DA4"/>
    <w:rsid w:val="00562D80"/>
    <w:rsid w:val="00566F1D"/>
    <w:rsid w:val="00571F93"/>
    <w:rsid w:val="00581F68"/>
    <w:rsid w:val="0058298D"/>
    <w:rsid w:val="00583E59"/>
    <w:rsid w:val="00585FB4"/>
    <w:rsid w:val="005A0E07"/>
    <w:rsid w:val="005A652F"/>
    <w:rsid w:val="005B5060"/>
    <w:rsid w:val="005B7CE0"/>
    <w:rsid w:val="005C33C2"/>
    <w:rsid w:val="005C5010"/>
    <w:rsid w:val="005D45E3"/>
    <w:rsid w:val="005E0C42"/>
    <w:rsid w:val="005E1C45"/>
    <w:rsid w:val="005E3AF8"/>
    <w:rsid w:val="005F5455"/>
    <w:rsid w:val="005F5D7E"/>
    <w:rsid w:val="00604CD0"/>
    <w:rsid w:val="00606E2E"/>
    <w:rsid w:val="006254CB"/>
    <w:rsid w:val="00627554"/>
    <w:rsid w:val="006414F0"/>
    <w:rsid w:val="00643FE8"/>
    <w:rsid w:val="00644FFD"/>
    <w:rsid w:val="00654D92"/>
    <w:rsid w:val="0065752C"/>
    <w:rsid w:val="006608B5"/>
    <w:rsid w:val="006649FC"/>
    <w:rsid w:val="00665756"/>
    <w:rsid w:val="00671441"/>
    <w:rsid w:val="00672810"/>
    <w:rsid w:val="00675C2F"/>
    <w:rsid w:val="006839AA"/>
    <w:rsid w:val="00684782"/>
    <w:rsid w:val="006849A7"/>
    <w:rsid w:val="00693F19"/>
    <w:rsid w:val="0069629C"/>
    <w:rsid w:val="006966B3"/>
    <w:rsid w:val="006A161C"/>
    <w:rsid w:val="006A1B0F"/>
    <w:rsid w:val="006A3F73"/>
    <w:rsid w:val="006B0113"/>
    <w:rsid w:val="006B2F8E"/>
    <w:rsid w:val="006B4F2C"/>
    <w:rsid w:val="006C2809"/>
    <w:rsid w:val="006C59F5"/>
    <w:rsid w:val="006D0835"/>
    <w:rsid w:val="006D63F9"/>
    <w:rsid w:val="006D6764"/>
    <w:rsid w:val="006E5906"/>
    <w:rsid w:val="006E5DB1"/>
    <w:rsid w:val="006F6C1D"/>
    <w:rsid w:val="00701E62"/>
    <w:rsid w:val="00706041"/>
    <w:rsid w:val="007073D9"/>
    <w:rsid w:val="00711A2A"/>
    <w:rsid w:val="00751A76"/>
    <w:rsid w:val="007532A1"/>
    <w:rsid w:val="00754653"/>
    <w:rsid w:val="00755A71"/>
    <w:rsid w:val="00755F28"/>
    <w:rsid w:val="00756167"/>
    <w:rsid w:val="007561AC"/>
    <w:rsid w:val="007623F7"/>
    <w:rsid w:val="007674A4"/>
    <w:rsid w:val="00777D27"/>
    <w:rsid w:val="007947EB"/>
    <w:rsid w:val="007A3900"/>
    <w:rsid w:val="007A586C"/>
    <w:rsid w:val="007A6F95"/>
    <w:rsid w:val="007B4203"/>
    <w:rsid w:val="007C166E"/>
    <w:rsid w:val="007C2A51"/>
    <w:rsid w:val="007D06CB"/>
    <w:rsid w:val="007D4C64"/>
    <w:rsid w:val="007D55A4"/>
    <w:rsid w:val="007D5FEA"/>
    <w:rsid w:val="007D7A30"/>
    <w:rsid w:val="007E33FC"/>
    <w:rsid w:val="007E37AD"/>
    <w:rsid w:val="007F2B16"/>
    <w:rsid w:val="007F5B2C"/>
    <w:rsid w:val="007F6D68"/>
    <w:rsid w:val="00805760"/>
    <w:rsid w:val="00821A7F"/>
    <w:rsid w:val="00821F7B"/>
    <w:rsid w:val="008226CB"/>
    <w:rsid w:val="008341EB"/>
    <w:rsid w:val="00835099"/>
    <w:rsid w:val="008363F3"/>
    <w:rsid w:val="00844487"/>
    <w:rsid w:val="00845B9F"/>
    <w:rsid w:val="0085193B"/>
    <w:rsid w:val="00851E85"/>
    <w:rsid w:val="00853323"/>
    <w:rsid w:val="00853FFA"/>
    <w:rsid w:val="0085567C"/>
    <w:rsid w:val="008577F1"/>
    <w:rsid w:val="008640DF"/>
    <w:rsid w:val="00864E86"/>
    <w:rsid w:val="00867CB4"/>
    <w:rsid w:val="008706DD"/>
    <w:rsid w:val="00872086"/>
    <w:rsid w:val="00873A95"/>
    <w:rsid w:val="00874C62"/>
    <w:rsid w:val="00881CEA"/>
    <w:rsid w:val="0088481E"/>
    <w:rsid w:val="00885985"/>
    <w:rsid w:val="00886DDF"/>
    <w:rsid w:val="008A1759"/>
    <w:rsid w:val="008A176C"/>
    <w:rsid w:val="008A28A5"/>
    <w:rsid w:val="008A7B26"/>
    <w:rsid w:val="008B3E35"/>
    <w:rsid w:val="008C25D8"/>
    <w:rsid w:val="008C3A99"/>
    <w:rsid w:val="008D20A2"/>
    <w:rsid w:val="008E047E"/>
    <w:rsid w:val="008E21B7"/>
    <w:rsid w:val="008F4E21"/>
    <w:rsid w:val="008F6632"/>
    <w:rsid w:val="009104D4"/>
    <w:rsid w:val="00912482"/>
    <w:rsid w:val="00921890"/>
    <w:rsid w:val="00924BDC"/>
    <w:rsid w:val="00926B1C"/>
    <w:rsid w:val="00931AFB"/>
    <w:rsid w:val="00934098"/>
    <w:rsid w:val="009348D6"/>
    <w:rsid w:val="00934D74"/>
    <w:rsid w:val="009358E8"/>
    <w:rsid w:val="00942506"/>
    <w:rsid w:val="00946512"/>
    <w:rsid w:val="00952EDF"/>
    <w:rsid w:val="00954685"/>
    <w:rsid w:val="00954D0A"/>
    <w:rsid w:val="0095609F"/>
    <w:rsid w:val="00957AF3"/>
    <w:rsid w:val="00970E21"/>
    <w:rsid w:val="0098574E"/>
    <w:rsid w:val="009904DB"/>
    <w:rsid w:val="00992DD9"/>
    <w:rsid w:val="009B0189"/>
    <w:rsid w:val="009D3E31"/>
    <w:rsid w:val="009D4574"/>
    <w:rsid w:val="009E34F6"/>
    <w:rsid w:val="009E380A"/>
    <w:rsid w:val="009E5BB5"/>
    <w:rsid w:val="009E7525"/>
    <w:rsid w:val="009F1DFF"/>
    <w:rsid w:val="009F48F7"/>
    <w:rsid w:val="009F4C8A"/>
    <w:rsid w:val="00A01744"/>
    <w:rsid w:val="00A049AF"/>
    <w:rsid w:val="00A17D60"/>
    <w:rsid w:val="00A204E8"/>
    <w:rsid w:val="00A21D69"/>
    <w:rsid w:val="00A313C7"/>
    <w:rsid w:val="00A42622"/>
    <w:rsid w:val="00A43030"/>
    <w:rsid w:val="00A50D55"/>
    <w:rsid w:val="00A557C1"/>
    <w:rsid w:val="00A704E9"/>
    <w:rsid w:val="00A77BFA"/>
    <w:rsid w:val="00A80D36"/>
    <w:rsid w:val="00A82D67"/>
    <w:rsid w:val="00A83453"/>
    <w:rsid w:val="00A877DA"/>
    <w:rsid w:val="00A96732"/>
    <w:rsid w:val="00AA37B6"/>
    <w:rsid w:val="00AB0C8E"/>
    <w:rsid w:val="00AB2A43"/>
    <w:rsid w:val="00AB48D3"/>
    <w:rsid w:val="00AC2BF4"/>
    <w:rsid w:val="00AD2D0B"/>
    <w:rsid w:val="00AD4758"/>
    <w:rsid w:val="00AD577A"/>
    <w:rsid w:val="00AE1A43"/>
    <w:rsid w:val="00AE4172"/>
    <w:rsid w:val="00AE56FA"/>
    <w:rsid w:val="00AF676D"/>
    <w:rsid w:val="00B03939"/>
    <w:rsid w:val="00B04B2A"/>
    <w:rsid w:val="00B13588"/>
    <w:rsid w:val="00B144F3"/>
    <w:rsid w:val="00B16685"/>
    <w:rsid w:val="00B427B4"/>
    <w:rsid w:val="00B42974"/>
    <w:rsid w:val="00B429EB"/>
    <w:rsid w:val="00B45F83"/>
    <w:rsid w:val="00B466C9"/>
    <w:rsid w:val="00B526C1"/>
    <w:rsid w:val="00B532A7"/>
    <w:rsid w:val="00B64C29"/>
    <w:rsid w:val="00B7071D"/>
    <w:rsid w:val="00B73BA4"/>
    <w:rsid w:val="00B81B33"/>
    <w:rsid w:val="00B86DEF"/>
    <w:rsid w:val="00B87281"/>
    <w:rsid w:val="00B87796"/>
    <w:rsid w:val="00B90944"/>
    <w:rsid w:val="00B90F8C"/>
    <w:rsid w:val="00BB296B"/>
    <w:rsid w:val="00BC4B62"/>
    <w:rsid w:val="00BC647A"/>
    <w:rsid w:val="00BC7EE7"/>
    <w:rsid w:val="00BD225A"/>
    <w:rsid w:val="00BD3E43"/>
    <w:rsid w:val="00BD74C3"/>
    <w:rsid w:val="00BE008A"/>
    <w:rsid w:val="00BE27FB"/>
    <w:rsid w:val="00BE44CC"/>
    <w:rsid w:val="00BF2A03"/>
    <w:rsid w:val="00BF4BF5"/>
    <w:rsid w:val="00BF4D8C"/>
    <w:rsid w:val="00C040BF"/>
    <w:rsid w:val="00C127BA"/>
    <w:rsid w:val="00C12F69"/>
    <w:rsid w:val="00C14A65"/>
    <w:rsid w:val="00C16987"/>
    <w:rsid w:val="00C2757A"/>
    <w:rsid w:val="00C328A5"/>
    <w:rsid w:val="00C33807"/>
    <w:rsid w:val="00C33EC6"/>
    <w:rsid w:val="00C342FE"/>
    <w:rsid w:val="00C375BE"/>
    <w:rsid w:val="00C37DFB"/>
    <w:rsid w:val="00C41848"/>
    <w:rsid w:val="00C42FC6"/>
    <w:rsid w:val="00C45B06"/>
    <w:rsid w:val="00C45CBB"/>
    <w:rsid w:val="00C60061"/>
    <w:rsid w:val="00C61299"/>
    <w:rsid w:val="00C61365"/>
    <w:rsid w:val="00C70EFD"/>
    <w:rsid w:val="00C75CA0"/>
    <w:rsid w:val="00C76D4F"/>
    <w:rsid w:val="00C80B1B"/>
    <w:rsid w:val="00C85F84"/>
    <w:rsid w:val="00C86B54"/>
    <w:rsid w:val="00C90D97"/>
    <w:rsid w:val="00CA1FDF"/>
    <w:rsid w:val="00CA4ED5"/>
    <w:rsid w:val="00CB14A4"/>
    <w:rsid w:val="00CC66C9"/>
    <w:rsid w:val="00CC6B31"/>
    <w:rsid w:val="00CD3D4D"/>
    <w:rsid w:val="00CD68E2"/>
    <w:rsid w:val="00CF1ADB"/>
    <w:rsid w:val="00CF2FA8"/>
    <w:rsid w:val="00CF5D65"/>
    <w:rsid w:val="00D01C78"/>
    <w:rsid w:val="00D0392C"/>
    <w:rsid w:val="00D060A4"/>
    <w:rsid w:val="00D07117"/>
    <w:rsid w:val="00D17D95"/>
    <w:rsid w:val="00D2499C"/>
    <w:rsid w:val="00D262D8"/>
    <w:rsid w:val="00D32A07"/>
    <w:rsid w:val="00D50703"/>
    <w:rsid w:val="00D530DF"/>
    <w:rsid w:val="00D570FD"/>
    <w:rsid w:val="00D67C17"/>
    <w:rsid w:val="00D67D35"/>
    <w:rsid w:val="00D73232"/>
    <w:rsid w:val="00D73698"/>
    <w:rsid w:val="00D756CB"/>
    <w:rsid w:val="00D773C7"/>
    <w:rsid w:val="00D845CA"/>
    <w:rsid w:val="00D9064A"/>
    <w:rsid w:val="00D90BC0"/>
    <w:rsid w:val="00D94EE1"/>
    <w:rsid w:val="00DA178E"/>
    <w:rsid w:val="00DA2AB4"/>
    <w:rsid w:val="00DB0F52"/>
    <w:rsid w:val="00DB45D9"/>
    <w:rsid w:val="00DB7333"/>
    <w:rsid w:val="00DB7B77"/>
    <w:rsid w:val="00DC2FF5"/>
    <w:rsid w:val="00DD1729"/>
    <w:rsid w:val="00DD2FE4"/>
    <w:rsid w:val="00DE0B73"/>
    <w:rsid w:val="00DF5997"/>
    <w:rsid w:val="00DF6137"/>
    <w:rsid w:val="00E0724A"/>
    <w:rsid w:val="00E13C8F"/>
    <w:rsid w:val="00E24DE6"/>
    <w:rsid w:val="00E254B5"/>
    <w:rsid w:val="00E2629D"/>
    <w:rsid w:val="00E30A7D"/>
    <w:rsid w:val="00E333AF"/>
    <w:rsid w:val="00E43438"/>
    <w:rsid w:val="00E47D0F"/>
    <w:rsid w:val="00E556D3"/>
    <w:rsid w:val="00E91F01"/>
    <w:rsid w:val="00E93C75"/>
    <w:rsid w:val="00E93ED0"/>
    <w:rsid w:val="00E96A4E"/>
    <w:rsid w:val="00EA2877"/>
    <w:rsid w:val="00EA425D"/>
    <w:rsid w:val="00EA5967"/>
    <w:rsid w:val="00EA5C36"/>
    <w:rsid w:val="00EA5EFA"/>
    <w:rsid w:val="00EB5263"/>
    <w:rsid w:val="00EB7334"/>
    <w:rsid w:val="00EC1F96"/>
    <w:rsid w:val="00EC3805"/>
    <w:rsid w:val="00EC4F7B"/>
    <w:rsid w:val="00EC7327"/>
    <w:rsid w:val="00EE2DA4"/>
    <w:rsid w:val="00EF0371"/>
    <w:rsid w:val="00EF5C12"/>
    <w:rsid w:val="00F05639"/>
    <w:rsid w:val="00F10654"/>
    <w:rsid w:val="00F1627F"/>
    <w:rsid w:val="00F16BCE"/>
    <w:rsid w:val="00F23F33"/>
    <w:rsid w:val="00F2542F"/>
    <w:rsid w:val="00F26802"/>
    <w:rsid w:val="00F26835"/>
    <w:rsid w:val="00F35221"/>
    <w:rsid w:val="00F43B79"/>
    <w:rsid w:val="00F43CB6"/>
    <w:rsid w:val="00F462D0"/>
    <w:rsid w:val="00F52741"/>
    <w:rsid w:val="00F561FE"/>
    <w:rsid w:val="00F6506D"/>
    <w:rsid w:val="00F703E6"/>
    <w:rsid w:val="00F76A4E"/>
    <w:rsid w:val="00F774C2"/>
    <w:rsid w:val="00F82A04"/>
    <w:rsid w:val="00F82BD3"/>
    <w:rsid w:val="00F91450"/>
    <w:rsid w:val="00F92152"/>
    <w:rsid w:val="00F9472C"/>
    <w:rsid w:val="00F96BD7"/>
    <w:rsid w:val="00FB4FB2"/>
    <w:rsid w:val="00FB7B61"/>
    <w:rsid w:val="00FC6FDB"/>
    <w:rsid w:val="00FC7CF6"/>
    <w:rsid w:val="00FD12D7"/>
    <w:rsid w:val="00FD4488"/>
    <w:rsid w:val="00FD564B"/>
    <w:rsid w:val="00FD673C"/>
    <w:rsid w:val="00FE22DA"/>
    <w:rsid w:val="00FE4604"/>
    <w:rsid w:val="00FE7C87"/>
    <w:rsid w:val="00FF0011"/>
    <w:rsid w:val="00FF1311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docId w15:val="{4199C0E2-15EF-49A1-AB54-340D519E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874C62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74C62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EA5C3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D530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stiloArial10ptNegritaNegro">
    <w:name w:val="Estilo Arial 10 pt Negrita Negro"/>
    <w:rsid w:val="000172CF"/>
    <w:rPr>
      <w:rFonts w:ascii="Arial" w:hAnsi="Arial" w:cs="Arial"/>
      <w:caps/>
      <w:sz w:val="20"/>
      <w:szCs w:val="20"/>
    </w:rPr>
  </w:style>
  <w:style w:type="paragraph" w:customStyle="1" w:styleId="CM9">
    <w:name w:val="CM9"/>
    <w:basedOn w:val="Default"/>
    <w:next w:val="Default"/>
    <w:rsid w:val="006414F0"/>
    <w:pPr>
      <w:spacing w:line="166" w:lineRule="atLeast"/>
    </w:pPr>
    <w:rPr>
      <w:color w:val="auto"/>
    </w:rPr>
  </w:style>
  <w:style w:type="table" w:styleId="Tablaconcuadrcula">
    <w:name w:val="Table Grid"/>
    <w:basedOn w:val="Tablanormal"/>
    <w:rsid w:val="00F96BD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9B01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B0189"/>
  </w:style>
  <w:style w:type="paragraph" w:styleId="Revisin">
    <w:name w:val="Revision"/>
    <w:hidden/>
    <w:uiPriority w:val="99"/>
    <w:semiHidden/>
    <w:rsid w:val="00755F28"/>
    <w:rPr>
      <w:rFonts w:ascii="Arial Narrow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557C1"/>
    <w:pPr>
      <w:ind w:left="708"/>
    </w:pPr>
  </w:style>
  <w:style w:type="paragraph" w:styleId="Encabezado">
    <w:name w:val="header"/>
    <w:basedOn w:val="Normal"/>
    <w:link w:val="EncabezadoCar"/>
    <w:rsid w:val="004F34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F346A"/>
    <w:rPr>
      <w:rFonts w:ascii="Arial Narrow" w:hAnsi="Arial Narrow" w:cs="Arial Narrow"/>
      <w:sz w:val="24"/>
      <w:szCs w:val="24"/>
    </w:rPr>
  </w:style>
  <w:style w:type="paragraph" w:styleId="Textonotapie">
    <w:name w:val="footnote text"/>
    <w:basedOn w:val="Normal"/>
    <w:link w:val="TextonotapieCar"/>
    <w:rsid w:val="000908FA"/>
    <w:rPr>
      <w:sz w:val="20"/>
      <w:szCs w:val="20"/>
    </w:rPr>
  </w:style>
  <w:style w:type="character" w:customStyle="1" w:styleId="TextonotapieCar">
    <w:name w:val="Texto nota pie Car"/>
    <w:link w:val="Textonotapie"/>
    <w:rsid w:val="000908FA"/>
    <w:rPr>
      <w:rFonts w:ascii="Arial Narrow" w:hAnsi="Arial Narrow" w:cs="Arial Narrow"/>
      <w:lang w:val="es-PE"/>
    </w:rPr>
  </w:style>
  <w:style w:type="character" w:styleId="Refdenotaalpie">
    <w:name w:val="footnote reference"/>
    <w:rsid w:val="00090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C385-DF1D-472E-ADB9-4DDBF392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2780</Words>
  <Characters>15296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debe tener en cuenta que “cuando la ejecución sea por administración directa un componente de producto o resultado corresponderá a una partida específica de gasto” (Anexo SNIP 03- 11</vt:lpstr>
    </vt:vector>
  </TitlesOfParts>
  <Company>Unidad Ejecutora 008 prog. de Modernización</Company>
  <LinksUpToDate>false</LinksUpToDate>
  <CharactersWithSpaces>18040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debe tener en cuenta que “cuando la ejecución sea por administración directa un componente de producto o resultado corresponderá a una partida específica de gasto” (Anexo SNIP 03- 11</dc:title>
  <dc:subject/>
  <dc:creator>DGPI_MEF</dc:creator>
  <cp:keywords/>
  <dc:description/>
  <cp:lastModifiedBy>Castillo Villarreal, Karina</cp:lastModifiedBy>
  <cp:revision>4</cp:revision>
  <cp:lastPrinted>2015-12-28T16:14:00Z</cp:lastPrinted>
  <dcterms:created xsi:type="dcterms:W3CDTF">2015-12-23T22:25:00Z</dcterms:created>
  <dcterms:modified xsi:type="dcterms:W3CDTF">2015-12-28T16:16:00Z</dcterms:modified>
</cp:coreProperties>
</file>