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A907" w14:textId="73472ED5" w:rsidR="00B94210" w:rsidRPr="007B3BBD" w:rsidRDefault="007B3BBD" w:rsidP="00327128">
      <w:pPr>
        <w:jc w:val="center"/>
        <w:rPr>
          <w:rFonts w:ascii="Arial" w:eastAsia="Times New Roman" w:hAnsi="Arial" w:cs="Arial"/>
          <w:b/>
          <w:bCs/>
          <w:sz w:val="24"/>
          <w:szCs w:val="24"/>
          <w:lang w:eastAsia="es-UY"/>
        </w:rPr>
      </w:pPr>
      <w:r w:rsidRPr="007B3BBD">
        <w:rPr>
          <w:rFonts w:ascii="Arial" w:eastAsia="Times New Roman" w:hAnsi="Arial" w:cs="Arial"/>
          <w:b/>
          <w:bCs/>
          <w:sz w:val="24"/>
          <w:szCs w:val="24"/>
          <w:lang w:eastAsia="es-UY"/>
        </w:rPr>
        <w:t>Anexo 16</w:t>
      </w:r>
    </w:p>
    <w:p w14:paraId="2F20544D" w14:textId="2AACE7B3" w:rsidR="00F85A81" w:rsidRPr="007B3BBD" w:rsidRDefault="007B3BBD" w:rsidP="00B94210">
      <w:pPr>
        <w:jc w:val="center"/>
        <w:rPr>
          <w:rFonts w:ascii="Times New Roman" w:eastAsia="Times New Roman" w:hAnsi="Times New Roman"/>
          <w:sz w:val="24"/>
          <w:szCs w:val="24"/>
          <w:lang w:eastAsia="es-UY"/>
        </w:rPr>
      </w:pPr>
      <w:r w:rsidRPr="007B3BBD">
        <w:rPr>
          <w:rFonts w:ascii="Arial" w:eastAsia="Times New Roman" w:hAnsi="Arial" w:cs="Arial"/>
          <w:b/>
          <w:bCs/>
          <w:sz w:val="24"/>
          <w:szCs w:val="24"/>
          <w:lang w:eastAsia="es-UY"/>
        </w:rPr>
        <w:t>“Procedimiento especial de selección para la contratación de bienes y servicios para el mantenimiento periódico y rutinario”</w:t>
      </w:r>
    </w:p>
    <w:p w14:paraId="064ED0E3" w14:textId="77777777" w:rsidR="00F85A81" w:rsidRPr="007D523D" w:rsidRDefault="00F85A81" w:rsidP="00F85A81">
      <w:pPr>
        <w:spacing w:after="0" w:line="240" w:lineRule="auto"/>
        <w:rPr>
          <w:rFonts w:ascii="Times New Roman" w:eastAsia="Times New Roman" w:hAnsi="Times New Roman"/>
          <w:sz w:val="24"/>
          <w:szCs w:val="24"/>
          <w:lang w:eastAsia="es-UY"/>
        </w:rPr>
      </w:pPr>
    </w:p>
    <w:p w14:paraId="18B04FD0" w14:textId="77777777" w:rsidR="00F85A81" w:rsidRPr="007D523D" w:rsidRDefault="00F85A81" w:rsidP="00F85A81">
      <w:pPr>
        <w:spacing w:after="0" w:line="240" w:lineRule="auto"/>
        <w:rPr>
          <w:rFonts w:ascii="Arial" w:eastAsia="Times New Roman" w:hAnsi="Arial" w:cs="Arial"/>
          <w:b/>
          <w:sz w:val="24"/>
          <w:szCs w:val="24"/>
          <w:u w:val="single"/>
          <w:lang w:eastAsia="es-UY"/>
        </w:rPr>
      </w:pPr>
      <w:r w:rsidRPr="007D523D">
        <w:rPr>
          <w:rFonts w:ascii="Arial" w:eastAsia="Times New Roman" w:hAnsi="Arial" w:cs="Arial"/>
          <w:b/>
          <w:sz w:val="24"/>
          <w:szCs w:val="24"/>
          <w:u w:val="single"/>
          <w:lang w:eastAsia="es-UY"/>
        </w:rPr>
        <w:t>Actos preparatorios.</w:t>
      </w:r>
    </w:p>
    <w:p w14:paraId="3EF28CA5" w14:textId="77777777" w:rsidR="00F85A81" w:rsidRPr="007D523D" w:rsidRDefault="00F85A81" w:rsidP="00F85A81">
      <w:pPr>
        <w:spacing w:after="0" w:line="240" w:lineRule="auto"/>
        <w:rPr>
          <w:rFonts w:ascii="Times New Roman" w:eastAsia="Times New Roman" w:hAnsi="Times New Roman"/>
          <w:sz w:val="24"/>
          <w:szCs w:val="24"/>
          <w:lang w:eastAsia="es-UY"/>
        </w:rPr>
      </w:pPr>
    </w:p>
    <w:p w14:paraId="7A0A649D" w14:textId="77777777" w:rsidR="00F85A81" w:rsidRPr="007B3BBD" w:rsidRDefault="00F85A81" w:rsidP="00F85A81">
      <w:pPr>
        <w:numPr>
          <w:ilvl w:val="0"/>
          <w:numId w:val="3"/>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 xml:space="preserve">El procedimiento especial, de </w:t>
      </w:r>
      <w:r w:rsidR="00B364C4" w:rsidRPr="007B3BBD">
        <w:rPr>
          <w:rFonts w:ascii="Arial" w:eastAsia="Times New Roman" w:hAnsi="Arial" w:cs="Arial"/>
          <w:lang w:eastAsia="es-UY"/>
        </w:rPr>
        <w:t>carácter</w:t>
      </w:r>
      <w:r w:rsidRPr="007B3BBD">
        <w:rPr>
          <w:rFonts w:ascii="Arial" w:eastAsia="Times New Roman" w:hAnsi="Arial" w:cs="Arial"/>
          <w:lang w:eastAsia="es-UY"/>
        </w:rPr>
        <w:t xml:space="preserve"> excepcional, tendrá vigencia </w:t>
      </w:r>
      <w:r w:rsidR="000F5556" w:rsidRPr="007B3BBD">
        <w:rPr>
          <w:rFonts w:ascii="Arial" w:eastAsia="Times New Roman" w:hAnsi="Arial" w:cs="Arial"/>
          <w:lang w:eastAsia="es-UY"/>
        </w:rPr>
        <w:t xml:space="preserve">hasta el 31 de </w:t>
      </w:r>
      <w:r w:rsidR="00AB178A" w:rsidRPr="007B3BBD">
        <w:rPr>
          <w:rFonts w:ascii="Arial" w:eastAsia="Times New Roman" w:hAnsi="Arial" w:cs="Arial"/>
          <w:lang w:eastAsia="es-UY"/>
        </w:rPr>
        <w:t>d</w:t>
      </w:r>
      <w:r w:rsidR="000F5556" w:rsidRPr="007B3BBD">
        <w:rPr>
          <w:rFonts w:ascii="Arial" w:eastAsia="Times New Roman" w:hAnsi="Arial" w:cs="Arial"/>
          <w:lang w:eastAsia="es-UY"/>
        </w:rPr>
        <w:t>iciembre 2020</w:t>
      </w:r>
      <w:r w:rsidRPr="007B3BBD">
        <w:rPr>
          <w:rFonts w:ascii="Arial" w:eastAsia="Times New Roman" w:hAnsi="Arial" w:cs="Arial"/>
          <w:lang w:eastAsia="es-UY"/>
        </w:rPr>
        <w:t xml:space="preserve">, destinado a la contratación de bienes y servicios </w:t>
      </w:r>
      <w:r w:rsidR="00327128" w:rsidRPr="007B3BBD">
        <w:rPr>
          <w:rFonts w:ascii="Arial" w:eastAsia="Times New Roman" w:hAnsi="Arial" w:cs="Arial"/>
          <w:lang w:eastAsia="es-UY"/>
        </w:rPr>
        <w:t>para el mantenimiento periódico y rutinario, previsto</w:t>
      </w:r>
      <w:r w:rsidRPr="007B3BBD">
        <w:rPr>
          <w:rFonts w:ascii="Arial" w:eastAsia="Times New Roman" w:hAnsi="Arial" w:cs="Arial"/>
          <w:lang w:eastAsia="es-UY"/>
        </w:rPr>
        <w:t>s en el “Reglamento Nacional de Gestión de Infraestructura Vial” aprobado por Decreto Supremo Nº 034-2008-MTC y normas modificatorias.</w:t>
      </w:r>
    </w:p>
    <w:p w14:paraId="7BC2D098"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7BC95745" w14:textId="77777777" w:rsidR="00F85A81" w:rsidRPr="007B3BBD" w:rsidRDefault="00F85A81" w:rsidP="00F85A81">
      <w:pPr>
        <w:numPr>
          <w:ilvl w:val="0"/>
          <w:numId w:val="4"/>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El área usuaria en su requerimiento debe indicar que el presente decreto resulta aplicable para la contratación del bien o servicio, precisando que ésta se encuentra relacionada con los servicios previstos o vinculados en el Decreto Supremo N° 034-2008-MTC</w:t>
      </w:r>
      <w:proofErr w:type="gramStart"/>
      <w:r w:rsidRPr="007B3BBD">
        <w:rPr>
          <w:rFonts w:ascii="Arial" w:eastAsia="Times New Roman" w:hAnsi="Arial" w:cs="Arial"/>
          <w:lang w:eastAsia="es-UY"/>
        </w:rPr>
        <w:t>-“</w:t>
      </w:r>
      <w:proofErr w:type="gramEnd"/>
      <w:r w:rsidRPr="007B3BBD">
        <w:rPr>
          <w:rFonts w:ascii="Arial" w:eastAsia="Times New Roman" w:hAnsi="Arial" w:cs="Arial"/>
          <w:lang w:eastAsia="es-UY"/>
        </w:rPr>
        <w:t xml:space="preserve">Reglamento Nacional de Gestión de Infraestructura Vial”. </w:t>
      </w:r>
    </w:p>
    <w:p w14:paraId="7625DC3D"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257EF8D6" w14:textId="77777777" w:rsidR="00F85A81" w:rsidRPr="007B3BBD" w:rsidRDefault="00F85A81" w:rsidP="00F85A81">
      <w:pPr>
        <w:numPr>
          <w:ilvl w:val="0"/>
          <w:numId w:val="5"/>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Las adquisiciones de bienes, así como las contrataciones de servicios antes señalados, deben incluirse previamente en el respectivo Plan Anual de Contrataciones (PAC), registrarse, convocarse y desarrollarse obligatoriamente en el Sistema Electrónico de Contrataciones del Estado - SEACE.</w:t>
      </w:r>
    </w:p>
    <w:p w14:paraId="131CFA25"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59B50D18" w14:textId="3DB92680" w:rsidR="00F85A81" w:rsidRPr="007B3BBD" w:rsidRDefault="00F85A81" w:rsidP="00F85A81">
      <w:pPr>
        <w:numPr>
          <w:ilvl w:val="0"/>
          <w:numId w:val="6"/>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 xml:space="preserve">Los procedimientos sujetos al Procedimiento Especial de Selección se </w:t>
      </w:r>
      <w:r w:rsidR="00BC3A2F" w:rsidRPr="007B3BBD">
        <w:rPr>
          <w:rFonts w:ascii="Arial" w:eastAsia="Times New Roman" w:hAnsi="Arial" w:cs="Arial"/>
          <w:lang w:eastAsia="es-UY"/>
        </w:rPr>
        <w:t xml:space="preserve">desarrollan empleando </w:t>
      </w:r>
      <w:r w:rsidRPr="007B3BBD">
        <w:rPr>
          <w:rFonts w:ascii="Arial" w:eastAsia="Times New Roman" w:hAnsi="Arial" w:cs="Arial"/>
          <w:lang w:eastAsia="es-UY"/>
        </w:rPr>
        <w:t xml:space="preserve">el SEACE, </w:t>
      </w:r>
      <w:r w:rsidR="00BC3A2F" w:rsidRPr="007B3BBD">
        <w:rPr>
          <w:rFonts w:ascii="Arial" w:eastAsia="Times New Roman" w:hAnsi="Arial" w:cs="Arial"/>
          <w:lang w:eastAsia="es-UY"/>
        </w:rPr>
        <w:t xml:space="preserve">para lo cual </w:t>
      </w:r>
      <w:r w:rsidRPr="007B3BBD">
        <w:rPr>
          <w:rFonts w:ascii="Arial" w:eastAsia="Times New Roman" w:hAnsi="Arial" w:cs="Arial"/>
          <w:lang w:eastAsia="es-UY"/>
        </w:rPr>
        <w:t xml:space="preserve">el Organismo Supervisor de las Contrataciones del Estado - OSCE </w:t>
      </w:r>
      <w:r w:rsidR="005459A8" w:rsidRPr="007B3BBD">
        <w:rPr>
          <w:rFonts w:ascii="Arial" w:eastAsia="Times New Roman" w:hAnsi="Arial" w:cs="Arial"/>
          <w:lang w:eastAsia="es-UY"/>
        </w:rPr>
        <w:t>adec</w:t>
      </w:r>
      <w:r w:rsidR="00153F5C" w:rsidRPr="007B3BBD">
        <w:rPr>
          <w:rFonts w:ascii="Arial" w:eastAsia="Times New Roman" w:hAnsi="Arial" w:cs="Arial"/>
          <w:lang w:eastAsia="es-UY"/>
        </w:rPr>
        <w:t>úa</w:t>
      </w:r>
      <w:r w:rsidRPr="007B3BBD">
        <w:rPr>
          <w:rFonts w:ascii="Arial" w:eastAsia="Times New Roman" w:hAnsi="Arial" w:cs="Arial"/>
          <w:lang w:eastAsia="es-UY"/>
        </w:rPr>
        <w:t xml:space="preserve"> la plataforma correspondiente.  </w:t>
      </w:r>
    </w:p>
    <w:p w14:paraId="11C43FA4"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30CA3BF7" w14:textId="77777777" w:rsidR="00F85A81" w:rsidRPr="007B3BBD" w:rsidRDefault="00F85A81" w:rsidP="00F85A81">
      <w:pPr>
        <w:spacing w:after="0" w:line="240" w:lineRule="auto"/>
        <w:ind w:left="360"/>
        <w:rPr>
          <w:rFonts w:ascii="Arial" w:eastAsia="Times New Roman" w:hAnsi="Arial" w:cs="Arial"/>
          <w:b/>
          <w:sz w:val="24"/>
          <w:szCs w:val="24"/>
          <w:u w:val="single"/>
          <w:lang w:eastAsia="es-UY"/>
        </w:rPr>
      </w:pPr>
      <w:r w:rsidRPr="007B3BBD">
        <w:rPr>
          <w:rFonts w:ascii="Arial" w:eastAsia="Times New Roman" w:hAnsi="Arial" w:cs="Arial"/>
          <w:b/>
          <w:sz w:val="24"/>
          <w:szCs w:val="24"/>
          <w:u w:val="single"/>
          <w:lang w:eastAsia="es-UY"/>
        </w:rPr>
        <w:t>Contenido del expediente de Contratación.</w:t>
      </w:r>
    </w:p>
    <w:p w14:paraId="596B2DD9" w14:textId="77777777" w:rsidR="00F85A81" w:rsidRPr="007B3BBD" w:rsidRDefault="00F85A81" w:rsidP="00F85A81">
      <w:pPr>
        <w:spacing w:after="0" w:line="240" w:lineRule="auto"/>
        <w:ind w:left="360"/>
        <w:rPr>
          <w:rFonts w:ascii="Times New Roman" w:eastAsia="Times New Roman" w:hAnsi="Times New Roman"/>
          <w:b/>
          <w:sz w:val="24"/>
          <w:szCs w:val="24"/>
          <w:lang w:eastAsia="es-UY"/>
        </w:rPr>
      </w:pPr>
    </w:p>
    <w:p w14:paraId="7FCAC3BB" w14:textId="77777777" w:rsidR="00F85A81" w:rsidRPr="007B3BBD" w:rsidRDefault="00F85A81" w:rsidP="00F85A81">
      <w:pPr>
        <w:numPr>
          <w:ilvl w:val="0"/>
          <w:numId w:val="7"/>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El expediente de contratación debe contener, cuando menos, lo siguiente:</w:t>
      </w:r>
    </w:p>
    <w:p w14:paraId="20C3DE56"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15355765" w14:textId="77777777" w:rsidR="00F85A81" w:rsidRPr="007B3BBD" w:rsidRDefault="00F85A81" w:rsidP="00F85A81">
      <w:pPr>
        <w:numPr>
          <w:ilvl w:val="0"/>
          <w:numId w:val="8"/>
        </w:numPr>
        <w:spacing w:after="0" w:line="240" w:lineRule="auto"/>
        <w:ind w:left="1080"/>
        <w:jc w:val="both"/>
        <w:textAlignment w:val="baseline"/>
        <w:rPr>
          <w:rFonts w:ascii="Arial" w:eastAsia="Times New Roman" w:hAnsi="Arial" w:cs="Arial"/>
          <w:lang w:eastAsia="es-UY"/>
        </w:rPr>
      </w:pPr>
      <w:r w:rsidRPr="007B3BBD">
        <w:rPr>
          <w:rFonts w:ascii="Arial" w:eastAsia="Times New Roman" w:hAnsi="Arial" w:cs="Arial"/>
          <w:lang w:eastAsia="es-UY"/>
        </w:rPr>
        <w:t>El requerimiento del Área Usuaria.</w:t>
      </w:r>
    </w:p>
    <w:p w14:paraId="3A66827A" w14:textId="77777777" w:rsidR="00F85A81" w:rsidRPr="007B3BBD" w:rsidRDefault="00F85A81" w:rsidP="005459A8">
      <w:pPr>
        <w:numPr>
          <w:ilvl w:val="0"/>
          <w:numId w:val="8"/>
        </w:numPr>
        <w:spacing w:after="0" w:line="240" w:lineRule="auto"/>
        <w:ind w:left="1080"/>
        <w:jc w:val="both"/>
        <w:textAlignment w:val="baseline"/>
        <w:rPr>
          <w:rFonts w:ascii="Arial" w:eastAsia="Times New Roman" w:hAnsi="Arial" w:cs="Arial"/>
          <w:lang w:eastAsia="es-UY"/>
        </w:rPr>
      </w:pPr>
      <w:r w:rsidRPr="007B3BBD">
        <w:rPr>
          <w:rFonts w:ascii="Arial" w:eastAsia="Times New Roman" w:hAnsi="Arial" w:cs="Arial"/>
          <w:lang w:eastAsia="es-UY"/>
        </w:rPr>
        <w:t xml:space="preserve">El informe </w:t>
      </w:r>
      <w:r w:rsidR="00BC3A2F" w:rsidRPr="007B3BBD">
        <w:rPr>
          <w:rFonts w:ascii="Arial" w:eastAsia="Times New Roman" w:hAnsi="Arial" w:cs="Arial"/>
          <w:lang w:eastAsia="es-UY"/>
        </w:rPr>
        <w:t xml:space="preserve">en </w:t>
      </w:r>
      <w:r w:rsidRPr="007B3BBD">
        <w:rPr>
          <w:rFonts w:ascii="Arial" w:eastAsia="Times New Roman" w:hAnsi="Arial" w:cs="Arial"/>
          <w:lang w:eastAsia="es-UY"/>
        </w:rPr>
        <w:t>el que se</w:t>
      </w:r>
      <w:r w:rsidR="00327128" w:rsidRPr="007B3BBD">
        <w:rPr>
          <w:rFonts w:ascii="Arial" w:eastAsia="Times New Roman" w:hAnsi="Arial" w:cs="Arial"/>
          <w:lang w:eastAsia="es-UY"/>
        </w:rPr>
        <w:t xml:space="preserve"> determina el </w:t>
      </w:r>
      <w:r w:rsidR="00BC3A2F" w:rsidRPr="007B3BBD">
        <w:rPr>
          <w:rFonts w:ascii="Arial" w:eastAsia="Times New Roman" w:hAnsi="Arial" w:cs="Arial"/>
          <w:lang w:eastAsia="es-UY"/>
        </w:rPr>
        <w:t xml:space="preserve">monto de la contratación que responde al resultado de la indagación de mercado realizada </w:t>
      </w:r>
      <w:r w:rsidR="005459A8" w:rsidRPr="007B3BBD">
        <w:rPr>
          <w:rFonts w:ascii="Arial" w:eastAsia="Times New Roman" w:hAnsi="Arial" w:cs="Arial"/>
          <w:lang w:eastAsia="es-UY"/>
        </w:rPr>
        <w:t xml:space="preserve">para la determinación del valor referencial, para lo cual se debe utilizar una sola fuente pudiendo ser </w:t>
      </w:r>
      <w:proofErr w:type="gramStart"/>
      <w:r w:rsidR="005459A8" w:rsidRPr="007B3BBD">
        <w:rPr>
          <w:rFonts w:ascii="Arial" w:eastAsia="Times New Roman" w:hAnsi="Arial" w:cs="Arial"/>
          <w:lang w:eastAsia="es-UY"/>
        </w:rPr>
        <w:t xml:space="preserve">cotizaciones  </w:t>
      </w:r>
      <w:r w:rsidR="00BC3A2F" w:rsidRPr="007B3BBD">
        <w:rPr>
          <w:rFonts w:ascii="Arial" w:eastAsia="Times New Roman" w:hAnsi="Arial" w:cs="Arial"/>
          <w:lang w:eastAsia="es-UY"/>
        </w:rPr>
        <w:t>o</w:t>
      </w:r>
      <w:proofErr w:type="gramEnd"/>
      <w:r w:rsidR="00BC3A2F" w:rsidRPr="007B3BBD">
        <w:rPr>
          <w:rFonts w:ascii="Arial" w:eastAsia="Times New Roman" w:hAnsi="Arial" w:cs="Arial"/>
          <w:lang w:eastAsia="es-UY"/>
        </w:rPr>
        <w:t xml:space="preserve"> </w:t>
      </w:r>
      <w:r w:rsidR="00327128" w:rsidRPr="007B3BBD">
        <w:rPr>
          <w:rFonts w:ascii="Arial" w:eastAsia="Times New Roman" w:hAnsi="Arial" w:cs="Arial"/>
          <w:lang w:eastAsia="es-UY"/>
        </w:rPr>
        <w:t>precios históricos o</w:t>
      </w:r>
      <w:r w:rsidRPr="007B3BBD">
        <w:rPr>
          <w:rFonts w:ascii="Arial" w:eastAsia="Times New Roman" w:hAnsi="Arial" w:cs="Arial"/>
          <w:lang w:eastAsia="es-UY"/>
        </w:rPr>
        <w:t xml:space="preserve"> </w:t>
      </w:r>
      <w:r w:rsidR="00327128" w:rsidRPr="007B3BBD">
        <w:rPr>
          <w:rFonts w:ascii="Arial" w:eastAsia="Times New Roman" w:hAnsi="Arial" w:cs="Arial"/>
          <w:lang w:eastAsia="es-UY"/>
        </w:rPr>
        <w:t>estructura de costos o presupuestos o fuentes SEACE, entre otros que considere  la Entidad</w:t>
      </w:r>
      <w:r w:rsidR="00B364C4" w:rsidRPr="007B3BBD">
        <w:rPr>
          <w:rFonts w:ascii="Arial" w:eastAsia="Times New Roman" w:hAnsi="Arial" w:cs="Arial"/>
          <w:lang w:eastAsia="es-UY"/>
        </w:rPr>
        <w:t>.</w:t>
      </w:r>
      <w:r w:rsidR="00327128" w:rsidRPr="007B3BBD">
        <w:rPr>
          <w:rFonts w:ascii="Arial" w:eastAsia="Times New Roman" w:hAnsi="Arial" w:cs="Arial"/>
          <w:lang w:eastAsia="es-UY"/>
        </w:rPr>
        <w:t xml:space="preserve"> </w:t>
      </w:r>
    </w:p>
    <w:p w14:paraId="09A8526C" w14:textId="77777777" w:rsidR="00F85A81" w:rsidRPr="007B3BBD" w:rsidRDefault="00F85A81" w:rsidP="00327128">
      <w:pPr>
        <w:numPr>
          <w:ilvl w:val="0"/>
          <w:numId w:val="8"/>
        </w:numPr>
        <w:spacing w:after="0" w:line="240" w:lineRule="auto"/>
        <w:ind w:left="1080"/>
        <w:jc w:val="both"/>
        <w:textAlignment w:val="baseline"/>
        <w:rPr>
          <w:rFonts w:ascii="Arial" w:eastAsia="Times New Roman" w:hAnsi="Arial" w:cs="Arial"/>
          <w:lang w:eastAsia="es-UY"/>
        </w:rPr>
      </w:pPr>
      <w:r w:rsidRPr="007B3BBD">
        <w:rPr>
          <w:rFonts w:ascii="Arial" w:eastAsia="Times New Roman" w:hAnsi="Arial" w:cs="Arial"/>
          <w:lang w:eastAsia="es-UY"/>
        </w:rPr>
        <w:t xml:space="preserve">El documento con el cual se incluye en el Plan Anual de Contrataciones de la Entidad. </w:t>
      </w:r>
    </w:p>
    <w:p w14:paraId="196EB362" w14:textId="77777777" w:rsidR="00F85A81" w:rsidRPr="007B3BBD" w:rsidRDefault="00F85A81" w:rsidP="00F85A81">
      <w:pPr>
        <w:numPr>
          <w:ilvl w:val="0"/>
          <w:numId w:val="8"/>
        </w:numPr>
        <w:spacing w:after="0" w:line="240" w:lineRule="auto"/>
        <w:ind w:left="1080"/>
        <w:jc w:val="both"/>
        <w:textAlignment w:val="baseline"/>
        <w:rPr>
          <w:rFonts w:ascii="Arial" w:eastAsia="Times New Roman" w:hAnsi="Arial" w:cs="Arial"/>
          <w:lang w:eastAsia="es-UY"/>
        </w:rPr>
      </w:pPr>
      <w:r w:rsidRPr="007B3BBD">
        <w:rPr>
          <w:rFonts w:ascii="Arial" w:eastAsia="Times New Roman" w:hAnsi="Arial" w:cs="Arial"/>
          <w:lang w:eastAsia="es-UY"/>
        </w:rPr>
        <w:t>Número del proceso especial de selección, indicando de manera expresa que debe realizarse bajo el presente marco legal.</w:t>
      </w:r>
    </w:p>
    <w:p w14:paraId="46E46847" w14:textId="77777777" w:rsidR="00F85A81" w:rsidRPr="007B3BBD" w:rsidRDefault="00F85A81" w:rsidP="00F85A81">
      <w:pPr>
        <w:numPr>
          <w:ilvl w:val="0"/>
          <w:numId w:val="8"/>
        </w:numPr>
        <w:spacing w:after="0" w:line="240" w:lineRule="auto"/>
        <w:ind w:left="1080"/>
        <w:jc w:val="both"/>
        <w:textAlignment w:val="baseline"/>
        <w:rPr>
          <w:rFonts w:ascii="Times New Roman" w:eastAsia="Times New Roman" w:hAnsi="Times New Roman"/>
          <w:sz w:val="24"/>
          <w:szCs w:val="24"/>
          <w:lang w:eastAsia="es-UY"/>
        </w:rPr>
      </w:pPr>
      <w:r w:rsidRPr="007B3BBD">
        <w:rPr>
          <w:rFonts w:ascii="Arial" w:eastAsia="Times New Roman" w:hAnsi="Arial" w:cs="Arial"/>
          <w:lang w:eastAsia="es-UY"/>
        </w:rPr>
        <w:t xml:space="preserve">El documento que sustenta la </w:t>
      </w:r>
      <w:r w:rsidR="00327128" w:rsidRPr="007B3BBD">
        <w:rPr>
          <w:rFonts w:ascii="Arial" w:eastAsia="Times New Roman" w:hAnsi="Arial" w:cs="Arial"/>
          <w:lang w:eastAsia="es-UY"/>
        </w:rPr>
        <w:t>certificación pre</w:t>
      </w:r>
      <w:r w:rsidR="00FD6C00" w:rsidRPr="007B3BBD">
        <w:rPr>
          <w:rFonts w:ascii="Arial" w:eastAsia="Times New Roman" w:hAnsi="Arial" w:cs="Arial"/>
          <w:lang w:eastAsia="es-UY"/>
        </w:rPr>
        <w:t>su</w:t>
      </w:r>
      <w:r w:rsidR="00327128" w:rsidRPr="007B3BBD">
        <w:rPr>
          <w:rFonts w:ascii="Arial" w:eastAsia="Times New Roman" w:hAnsi="Arial" w:cs="Arial"/>
          <w:lang w:eastAsia="es-UY"/>
        </w:rPr>
        <w:t>puesta</w:t>
      </w:r>
      <w:r w:rsidR="00B364C4" w:rsidRPr="007B3BBD">
        <w:rPr>
          <w:rFonts w:ascii="Arial" w:eastAsia="Times New Roman" w:hAnsi="Arial" w:cs="Arial"/>
          <w:lang w:eastAsia="es-UY"/>
        </w:rPr>
        <w:t>l</w:t>
      </w:r>
      <w:r w:rsidR="00327128" w:rsidRPr="007B3BBD">
        <w:rPr>
          <w:rFonts w:ascii="Arial" w:eastAsia="Times New Roman" w:hAnsi="Arial" w:cs="Arial"/>
          <w:lang w:eastAsia="es-UY"/>
        </w:rPr>
        <w:t xml:space="preserve"> o previsión presupuestal. </w:t>
      </w:r>
    </w:p>
    <w:p w14:paraId="4381560B" w14:textId="77777777" w:rsidR="00327128" w:rsidRPr="007B3BBD" w:rsidRDefault="00327128" w:rsidP="00327128">
      <w:pPr>
        <w:spacing w:after="0" w:line="240" w:lineRule="auto"/>
        <w:ind w:left="1080"/>
        <w:jc w:val="both"/>
        <w:textAlignment w:val="baseline"/>
        <w:rPr>
          <w:rFonts w:ascii="Times New Roman" w:eastAsia="Times New Roman" w:hAnsi="Times New Roman"/>
          <w:sz w:val="24"/>
          <w:szCs w:val="24"/>
          <w:lang w:eastAsia="es-UY"/>
        </w:rPr>
      </w:pPr>
    </w:p>
    <w:p w14:paraId="53CEAD33" w14:textId="77777777" w:rsidR="00F85A81" w:rsidRPr="007B3BBD" w:rsidRDefault="00F85A81" w:rsidP="00F85A81">
      <w:pPr>
        <w:numPr>
          <w:ilvl w:val="0"/>
          <w:numId w:val="9"/>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El expediente de contratación, las bases, deben ser aprobados por el Director de Administración (o el que haga sus veces en la Entidad), debiendo dar cuenta al Titular de la Entidad.</w:t>
      </w:r>
    </w:p>
    <w:p w14:paraId="3AD76920"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74E8C42B" w14:textId="77777777" w:rsidR="00F85A81" w:rsidRPr="007B3BBD" w:rsidRDefault="00F85A81" w:rsidP="00F85A81">
      <w:pPr>
        <w:numPr>
          <w:ilvl w:val="0"/>
          <w:numId w:val="10"/>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 xml:space="preserve">Los procedimientos sujetos al presente Procedimiento Especial de Selección serán conducidos por el órgano encargado de las contrataciones de la Entidad o por un Comité de Selección conformado por tres (3) miembros (titulares con sus respectivos suplentes), de los cuales, dos (2) deberán pertenecer al Área </w:t>
      </w:r>
      <w:r w:rsidRPr="007B3BBD">
        <w:rPr>
          <w:rFonts w:ascii="Arial" w:eastAsia="Times New Roman" w:hAnsi="Arial" w:cs="Arial"/>
          <w:lang w:eastAsia="es-UY"/>
        </w:rPr>
        <w:lastRenderedPageBreak/>
        <w:t>Usuaria y uno (1) al Órgano Encargado de las Contrataciones. El Comité de Selección es designado por el Titular de la Entidad o por quien este delegue, el cual también estará a cargo, de ser el caso, de su reconformación.</w:t>
      </w:r>
    </w:p>
    <w:p w14:paraId="20BA93C5" w14:textId="77777777" w:rsidR="00F85A81" w:rsidRPr="007B3BBD" w:rsidRDefault="00F85A81" w:rsidP="00F85A81">
      <w:pPr>
        <w:spacing w:after="0" w:line="240" w:lineRule="auto"/>
        <w:ind w:left="720"/>
        <w:jc w:val="both"/>
        <w:textAlignment w:val="baseline"/>
        <w:rPr>
          <w:rFonts w:ascii="Arial" w:eastAsia="Times New Roman" w:hAnsi="Arial" w:cs="Arial"/>
          <w:lang w:eastAsia="es-UY"/>
        </w:rPr>
      </w:pPr>
    </w:p>
    <w:p w14:paraId="30C3A0A5" w14:textId="77777777" w:rsidR="00F85A81" w:rsidRPr="007B3BBD" w:rsidRDefault="00F85A81" w:rsidP="00F85A81">
      <w:pPr>
        <w:spacing w:after="0" w:line="240" w:lineRule="auto"/>
        <w:ind w:left="360"/>
        <w:rPr>
          <w:rFonts w:ascii="Arial" w:eastAsia="Times New Roman" w:hAnsi="Arial" w:cs="Arial"/>
          <w:b/>
          <w:sz w:val="24"/>
          <w:szCs w:val="24"/>
          <w:u w:val="single"/>
          <w:lang w:eastAsia="es-UY"/>
        </w:rPr>
      </w:pPr>
      <w:r w:rsidRPr="007B3BBD">
        <w:rPr>
          <w:rFonts w:ascii="Arial" w:eastAsia="Times New Roman" w:hAnsi="Arial" w:cs="Arial"/>
          <w:b/>
          <w:sz w:val="24"/>
          <w:szCs w:val="24"/>
          <w:u w:val="single"/>
          <w:lang w:eastAsia="es-UY"/>
        </w:rPr>
        <w:t>Las bases del procedimiento de selección.</w:t>
      </w:r>
    </w:p>
    <w:p w14:paraId="5BF696A2" w14:textId="77777777" w:rsidR="00F85A81" w:rsidRPr="007B3BBD" w:rsidRDefault="00F85A81" w:rsidP="00327128">
      <w:pPr>
        <w:spacing w:after="0" w:line="240" w:lineRule="auto"/>
        <w:rPr>
          <w:rFonts w:ascii="Arial" w:eastAsia="Times New Roman" w:hAnsi="Arial" w:cs="Arial"/>
          <w:lang w:eastAsia="es-UY"/>
        </w:rPr>
      </w:pPr>
    </w:p>
    <w:p w14:paraId="1DFDA3A3" w14:textId="77777777" w:rsidR="00F85A81" w:rsidRPr="007B3BBD" w:rsidRDefault="00F85A81" w:rsidP="00F85A81">
      <w:pPr>
        <w:spacing w:after="0" w:line="240" w:lineRule="auto"/>
        <w:ind w:left="360"/>
        <w:jc w:val="both"/>
        <w:rPr>
          <w:rFonts w:ascii="Arial" w:eastAsia="Times New Roman" w:hAnsi="Arial" w:cs="Arial"/>
          <w:lang w:eastAsia="es-UY"/>
        </w:rPr>
      </w:pPr>
      <w:r w:rsidRPr="007B3BBD">
        <w:rPr>
          <w:rFonts w:ascii="Arial" w:eastAsia="Times New Roman" w:hAnsi="Arial" w:cs="Arial"/>
          <w:lang w:eastAsia="es-UY"/>
        </w:rPr>
        <w:t>Las bases deben ser elaboradas por el comité de selección u órgano encargado de las contrataciones, según corresponda, teniendo como directriz que las ofertas a presentar por los postores sean: el anexo de la oferta económica y las declaraciones juradas sujetas a fiscalización posterior; cuyos formatos deberán adjuntarse a las bases, en versión editable. En caso de consorcios, éstos, adicionalmente, deberán presentar su promesa formal de consorcio, la cual deberá cumplir con las mismas condiciones previstas en la directiva correspondiente aprobada por el OSCE. </w:t>
      </w:r>
    </w:p>
    <w:p w14:paraId="267B7570" w14:textId="77777777" w:rsidR="00F85A81" w:rsidRPr="007B3BBD" w:rsidRDefault="00F85A81" w:rsidP="00F85A81">
      <w:pPr>
        <w:spacing w:after="0" w:line="240" w:lineRule="auto"/>
        <w:ind w:left="360"/>
        <w:rPr>
          <w:rFonts w:ascii="Arial" w:eastAsia="Times New Roman" w:hAnsi="Arial" w:cs="Arial"/>
          <w:lang w:eastAsia="es-UY"/>
        </w:rPr>
      </w:pPr>
    </w:p>
    <w:p w14:paraId="69551FA1" w14:textId="77777777" w:rsidR="00F06ECF" w:rsidRPr="007B3BBD" w:rsidRDefault="00327128" w:rsidP="002805CB">
      <w:pPr>
        <w:spacing w:after="0" w:line="240" w:lineRule="auto"/>
        <w:ind w:left="360"/>
        <w:jc w:val="both"/>
        <w:rPr>
          <w:rFonts w:ascii="Arial" w:eastAsia="Times New Roman" w:hAnsi="Arial" w:cs="Arial"/>
          <w:lang w:eastAsia="es-UY"/>
        </w:rPr>
      </w:pPr>
      <w:r w:rsidRPr="007B3BBD">
        <w:rPr>
          <w:rFonts w:ascii="Arial" w:eastAsia="Times New Roman" w:hAnsi="Arial" w:cs="Arial"/>
          <w:lang w:eastAsia="es-UY"/>
        </w:rPr>
        <w:t xml:space="preserve">A fin de promover la participación de las micro y pequeñas empresas, en los documentos de los procedimientos sujetos al presente Procedimiento Especial de </w:t>
      </w:r>
      <w:r w:rsidR="00B364C4" w:rsidRPr="007B3BBD">
        <w:rPr>
          <w:rFonts w:ascii="Arial" w:eastAsia="Times New Roman" w:hAnsi="Arial" w:cs="Arial"/>
          <w:lang w:eastAsia="es-UY"/>
        </w:rPr>
        <w:t>Selección</w:t>
      </w:r>
      <w:r w:rsidRPr="007B3BBD">
        <w:rPr>
          <w:rFonts w:ascii="Arial" w:eastAsia="Times New Roman" w:hAnsi="Arial" w:cs="Arial"/>
          <w:lang w:eastAsia="es-UY"/>
        </w:rPr>
        <w:t xml:space="preserve">, </w:t>
      </w:r>
      <w:r w:rsidR="00DC1B2C" w:rsidRPr="007B3BBD">
        <w:rPr>
          <w:rFonts w:ascii="Arial" w:eastAsia="Times New Roman" w:hAnsi="Arial" w:cs="Arial"/>
          <w:lang w:eastAsia="es-UY"/>
        </w:rPr>
        <w:t xml:space="preserve">cuyo objeto contractual sea distinto al mantenimiento periódico o mantenimiento rutinario, </w:t>
      </w:r>
      <w:r w:rsidRPr="007B3BBD">
        <w:rPr>
          <w:rFonts w:ascii="Arial" w:eastAsia="Times New Roman" w:hAnsi="Arial" w:cs="Arial"/>
          <w:lang w:eastAsia="es-UY"/>
        </w:rPr>
        <w:t xml:space="preserve">se </w:t>
      </w:r>
      <w:proofErr w:type="gramStart"/>
      <w:r w:rsidR="00335BB3" w:rsidRPr="007B3BBD">
        <w:rPr>
          <w:rFonts w:ascii="Arial" w:eastAsia="Times New Roman" w:hAnsi="Arial" w:cs="Arial"/>
          <w:lang w:eastAsia="es-UY"/>
        </w:rPr>
        <w:t>considera</w:t>
      </w:r>
      <w:r w:rsidR="00D0595D" w:rsidRPr="007B3BBD">
        <w:rPr>
          <w:rFonts w:ascii="Arial" w:eastAsia="Times New Roman" w:hAnsi="Arial" w:cs="Arial"/>
          <w:lang w:eastAsia="es-UY"/>
        </w:rPr>
        <w:t xml:space="preserve">n </w:t>
      </w:r>
      <w:r w:rsidR="00F06ECF" w:rsidRPr="007B3BBD">
        <w:rPr>
          <w:rFonts w:ascii="Arial" w:eastAsia="Times New Roman" w:hAnsi="Arial" w:cs="Arial"/>
          <w:lang w:eastAsia="es-UY"/>
        </w:rPr>
        <w:t xml:space="preserve"> las</w:t>
      </w:r>
      <w:proofErr w:type="gramEnd"/>
      <w:r w:rsidR="00F06ECF" w:rsidRPr="007B3BBD">
        <w:rPr>
          <w:rFonts w:ascii="Arial" w:eastAsia="Times New Roman" w:hAnsi="Arial" w:cs="Arial"/>
          <w:lang w:eastAsia="es-UY"/>
        </w:rPr>
        <w:t xml:space="preserve"> siguientes bonificaciones: </w:t>
      </w:r>
    </w:p>
    <w:p w14:paraId="01AB4A72" w14:textId="77777777" w:rsidR="002805CB" w:rsidRPr="007B3BBD" w:rsidRDefault="00D0595D" w:rsidP="005459A8">
      <w:pPr>
        <w:numPr>
          <w:ilvl w:val="1"/>
          <w:numId w:val="9"/>
        </w:numPr>
        <w:spacing w:after="0" w:line="240" w:lineRule="auto"/>
        <w:ind w:left="709" w:hanging="283"/>
        <w:jc w:val="both"/>
        <w:rPr>
          <w:rFonts w:ascii="Arial" w:eastAsia="Times New Roman" w:hAnsi="Arial" w:cs="Arial"/>
          <w:lang w:eastAsia="es-UY"/>
        </w:rPr>
      </w:pPr>
      <w:r w:rsidRPr="007B3BBD">
        <w:rPr>
          <w:rFonts w:ascii="Arial" w:eastAsia="Times New Roman" w:hAnsi="Arial" w:cs="Arial"/>
          <w:lang w:eastAsia="es-UY"/>
        </w:rPr>
        <w:t xml:space="preserve">Cinco </w:t>
      </w:r>
      <w:r w:rsidR="00F06ECF" w:rsidRPr="007B3BBD">
        <w:rPr>
          <w:rFonts w:ascii="Arial" w:eastAsia="Times New Roman" w:hAnsi="Arial" w:cs="Arial"/>
          <w:lang w:eastAsia="es-UY"/>
        </w:rPr>
        <w:t>por ciento (</w:t>
      </w:r>
      <w:r w:rsidRPr="007B3BBD">
        <w:rPr>
          <w:rFonts w:ascii="Arial" w:eastAsia="Times New Roman" w:hAnsi="Arial" w:cs="Arial"/>
          <w:lang w:eastAsia="es-UY"/>
        </w:rPr>
        <w:t>5</w:t>
      </w:r>
      <w:r w:rsidR="00F06ECF" w:rsidRPr="007B3BBD">
        <w:rPr>
          <w:rFonts w:ascii="Arial" w:eastAsia="Times New Roman" w:hAnsi="Arial" w:cs="Arial"/>
          <w:lang w:eastAsia="es-UY"/>
        </w:rPr>
        <w:t xml:space="preserve">%) </w:t>
      </w:r>
      <w:r w:rsidR="00327128" w:rsidRPr="007B3BBD">
        <w:rPr>
          <w:rFonts w:ascii="Arial" w:eastAsia="Times New Roman" w:hAnsi="Arial" w:cs="Arial"/>
          <w:lang w:eastAsia="es-UY"/>
        </w:rPr>
        <w:t>sobre el puntaje total</w:t>
      </w:r>
      <w:r w:rsidR="00335BB3" w:rsidRPr="007B3BBD">
        <w:rPr>
          <w:rFonts w:ascii="Arial" w:eastAsia="Times New Roman" w:hAnsi="Arial" w:cs="Arial"/>
          <w:lang w:eastAsia="es-UY"/>
        </w:rPr>
        <w:t xml:space="preserve"> obtenido</w:t>
      </w:r>
      <w:r w:rsidR="00327128" w:rsidRPr="007B3BBD">
        <w:rPr>
          <w:rFonts w:ascii="Arial" w:eastAsia="Times New Roman" w:hAnsi="Arial" w:cs="Arial"/>
          <w:lang w:eastAsia="es-UY"/>
        </w:rPr>
        <w:t>, para lo cual deberá presentar la declaración jurada</w:t>
      </w:r>
      <w:r w:rsidR="002805CB" w:rsidRPr="007B3BBD">
        <w:rPr>
          <w:rFonts w:ascii="Arial" w:eastAsia="Times New Roman" w:hAnsi="Arial" w:cs="Arial"/>
          <w:lang w:eastAsia="es-UY"/>
        </w:rPr>
        <w:t>, mediante la cual señale contar con el Registro de la Micro y Pequeña Empresa (REMYPE)</w:t>
      </w:r>
      <w:r w:rsidR="00346638" w:rsidRPr="007B3BBD">
        <w:rPr>
          <w:rFonts w:ascii="Arial" w:eastAsia="Times New Roman" w:hAnsi="Arial" w:cs="Arial"/>
          <w:lang w:eastAsia="es-UY"/>
        </w:rPr>
        <w:t xml:space="preserve"> a la fecha de presentación de la oferta.</w:t>
      </w:r>
      <w:r w:rsidR="00FF1BD2" w:rsidRPr="007B3BBD">
        <w:rPr>
          <w:rFonts w:ascii="Arial" w:eastAsia="Times New Roman" w:hAnsi="Arial" w:cs="Arial"/>
          <w:lang w:eastAsia="es-UY"/>
        </w:rPr>
        <w:t xml:space="preserve"> En caso de consorcios, todos sus integrantes deben cumplir la misma condición</w:t>
      </w:r>
      <w:r w:rsidR="00F06ECF" w:rsidRPr="007B3BBD">
        <w:rPr>
          <w:rFonts w:ascii="Arial" w:eastAsia="Times New Roman" w:hAnsi="Arial" w:cs="Arial"/>
          <w:lang w:eastAsia="es-UY"/>
        </w:rPr>
        <w:t xml:space="preserve">; </w:t>
      </w:r>
      <w:r w:rsidRPr="007B3BBD">
        <w:rPr>
          <w:rFonts w:ascii="Arial" w:eastAsia="Times New Roman" w:hAnsi="Arial" w:cs="Arial"/>
          <w:lang w:eastAsia="es-UY"/>
        </w:rPr>
        <w:t>y</w:t>
      </w:r>
    </w:p>
    <w:p w14:paraId="23539A8F" w14:textId="77777777" w:rsidR="00327128" w:rsidRPr="007B3BBD" w:rsidRDefault="00D0595D" w:rsidP="005459A8">
      <w:pPr>
        <w:numPr>
          <w:ilvl w:val="1"/>
          <w:numId w:val="9"/>
        </w:numPr>
        <w:spacing w:after="0" w:line="240" w:lineRule="auto"/>
        <w:ind w:left="709" w:hanging="283"/>
        <w:jc w:val="both"/>
        <w:rPr>
          <w:rFonts w:ascii="Arial" w:eastAsia="Times New Roman" w:hAnsi="Arial" w:cs="Arial"/>
          <w:lang w:eastAsia="es-UY"/>
        </w:rPr>
      </w:pPr>
      <w:r w:rsidRPr="007B3BBD">
        <w:rPr>
          <w:rFonts w:ascii="Arial" w:eastAsia="Times New Roman" w:hAnsi="Arial" w:cs="Arial"/>
          <w:lang w:eastAsia="es-UY"/>
        </w:rPr>
        <w:t xml:space="preserve">Cinco </w:t>
      </w:r>
      <w:r w:rsidR="00327128" w:rsidRPr="007B3BBD">
        <w:rPr>
          <w:rFonts w:ascii="Arial" w:eastAsia="Times New Roman" w:hAnsi="Arial" w:cs="Arial"/>
          <w:lang w:eastAsia="es-UY"/>
        </w:rPr>
        <w:t>por ciento (</w:t>
      </w:r>
      <w:r w:rsidRPr="007B3BBD">
        <w:rPr>
          <w:rFonts w:ascii="Arial" w:eastAsia="Times New Roman" w:hAnsi="Arial" w:cs="Arial"/>
          <w:lang w:eastAsia="es-UY"/>
        </w:rPr>
        <w:t>5</w:t>
      </w:r>
      <w:r w:rsidR="00327128" w:rsidRPr="007B3BBD">
        <w:rPr>
          <w:rFonts w:ascii="Arial" w:eastAsia="Times New Roman" w:hAnsi="Arial" w:cs="Arial"/>
          <w:lang w:eastAsia="es-UY"/>
        </w:rPr>
        <w:t>%) sobre el puntaje total</w:t>
      </w:r>
      <w:r w:rsidR="002805CB" w:rsidRPr="007B3BBD">
        <w:rPr>
          <w:rFonts w:ascii="Arial" w:eastAsia="Times New Roman" w:hAnsi="Arial" w:cs="Arial"/>
          <w:lang w:eastAsia="es-UY"/>
        </w:rPr>
        <w:t xml:space="preserve"> obtenido</w:t>
      </w:r>
      <w:r w:rsidR="00327128" w:rsidRPr="007B3BBD">
        <w:rPr>
          <w:rFonts w:ascii="Arial" w:eastAsia="Times New Roman" w:hAnsi="Arial" w:cs="Arial"/>
          <w:lang w:eastAsia="es-UY"/>
        </w:rPr>
        <w:t xml:space="preserve"> a l</w:t>
      </w:r>
      <w:r w:rsidR="000F5556" w:rsidRPr="007B3BBD">
        <w:rPr>
          <w:rFonts w:ascii="Arial" w:eastAsia="Times New Roman" w:hAnsi="Arial" w:cs="Arial"/>
          <w:lang w:eastAsia="es-UY"/>
        </w:rPr>
        <w:t xml:space="preserve">as </w:t>
      </w:r>
      <w:r w:rsidR="009806B7" w:rsidRPr="007B3BBD">
        <w:rPr>
          <w:rFonts w:ascii="Arial" w:eastAsia="Times New Roman" w:hAnsi="Arial" w:cs="Arial"/>
          <w:lang w:eastAsia="es-UY"/>
        </w:rPr>
        <w:t>m</w:t>
      </w:r>
      <w:r w:rsidR="000F5556" w:rsidRPr="007B3BBD">
        <w:rPr>
          <w:rFonts w:ascii="Arial" w:eastAsia="Times New Roman" w:hAnsi="Arial" w:cs="Arial"/>
          <w:lang w:eastAsia="es-UY"/>
        </w:rPr>
        <w:t xml:space="preserve">icro y </w:t>
      </w:r>
      <w:r w:rsidR="009806B7" w:rsidRPr="007B3BBD">
        <w:rPr>
          <w:rFonts w:ascii="Arial" w:eastAsia="Times New Roman" w:hAnsi="Arial" w:cs="Arial"/>
          <w:lang w:eastAsia="es-UY"/>
        </w:rPr>
        <w:t>p</w:t>
      </w:r>
      <w:r w:rsidR="000F5556" w:rsidRPr="007B3BBD">
        <w:rPr>
          <w:rFonts w:ascii="Arial" w:eastAsia="Times New Roman" w:hAnsi="Arial" w:cs="Arial"/>
          <w:lang w:eastAsia="es-UY"/>
        </w:rPr>
        <w:t xml:space="preserve">equeñas empresas </w:t>
      </w:r>
      <w:r w:rsidR="00327128" w:rsidRPr="007B3BBD">
        <w:rPr>
          <w:rFonts w:ascii="Arial" w:eastAsia="Times New Roman" w:hAnsi="Arial" w:cs="Arial"/>
          <w:lang w:eastAsia="es-UY"/>
        </w:rPr>
        <w:t xml:space="preserve">cuyo domicilio se encuentre ubicado en </w:t>
      </w:r>
      <w:r w:rsidR="000F5556" w:rsidRPr="007B3BBD">
        <w:rPr>
          <w:rFonts w:ascii="Arial" w:eastAsia="Times New Roman" w:hAnsi="Arial" w:cs="Arial"/>
          <w:lang w:eastAsia="es-UY"/>
        </w:rPr>
        <w:t>la provincia o provincia co</w:t>
      </w:r>
      <w:r w:rsidR="009806B7" w:rsidRPr="007B3BBD">
        <w:rPr>
          <w:rFonts w:ascii="Arial" w:eastAsia="Times New Roman" w:hAnsi="Arial" w:cs="Arial"/>
          <w:lang w:eastAsia="es-UY"/>
        </w:rPr>
        <w:t xml:space="preserve">lindante </w:t>
      </w:r>
      <w:r w:rsidR="00327128" w:rsidRPr="007B3BBD">
        <w:rPr>
          <w:rFonts w:ascii="Arial" w:eastAsia="Times New Roman" w:hAnsi="Arial" w:cs="Arial"/>
          <w:lang w:eastAsia="es-UY"/>
        </w:rPr>
        <w:t xml:space="preserve">donde se ejecuta </w:t>
      </w:r>
      <w:r w:rsidR="009806B7" w:rsidRPr="007B3BBD">
        <w:rPr>
          <w:rFonts w:ascii="Arial" w:eastAsia="Times New Roman" w:hAnsi="Arial" w:cs="Arial"/>
          <w:lang w:eastAsia="es-UY"/>
        </w:rPr>
        <w:t>la prestación</w:t>
      </w:r>
      <w:r w:rsidR="00327128" w:rsidRPr="007B3BBD">
        <w:rPr>
          <w:rFonts w:ascii="Arial" w:eastAsia="Times New Roman" w:hAnsi="Arial" w:cs="Arial"/>
          <w:lang w:eastAsia="es-UY"/>
        </w:rPr>
        <w:t>, sean o no pertenecientes al mismo departamento o región, para lo cual los postores pueden presentar la declaración jurada respectiva, la misma que será validada por el conductor del proceso teniendo en cuenta el domicilio que figura en la constancia del RNP. Esta bonificación sólo será aplicable para l</w:t>
      </w:r>
      <w:r w:rsidR="009806B7" w:rsidRPr="007B3BBD">
        <w:rPr>
          <w:rFonts w:ascii="Arial" w:eastAsia="Times New Roman" w:hAnsi="Arial" w:cs="Arial"/>
          <w:lang w:eastAsia="es-UY"/>
        </w:rPr>
        <w:t xml:space="preserve">as contrataciones que se ejecuten </w:t>
      </w:r>
      <w:r w:rsidR="00327128" w:rsidRPr="007B3BBD">
        <w:rPr>
          <w:rFonts w:ascii="Arial" w:eastAsia="Times New Roman" w:hAnsi="Arial" w:cs="Arial"/>
          <w:lang w:eastAsia="es-UY"/>
        </w:rPr>
        <w:t>fuera de la provincia de Lima y Callao.</w:t>
      </w:r>
      <w:r w:rsidR="00FF1BD2" w:rsidRPr="007B3BBD">
        <w:rPr>
          <w:rFonts w:ascii="Arial" w:eastAsia="Times New Roman" w:hAnsi="Arial" w:cs="Arial"/>
          <w:lang w:eastAsia="es-UY"/>
        </w:rPr>
        <w:t xml:space="preserve"> En caso de consorcios, todos sus integrantes deben cumplir la misma condición.</w:t>
      </w:r>
    </w:p>
    <w:p w14:paraId="595D1AB2" w14:textId="77777777" w:rsidR="00F85A81" w:rsidRPr="007B3BBD" w:rsidRDefault="00F85A81" w:rsidP="005459A8">
      <w:pPr>
        <w:spacing w:after="0" w:line="240" w:lineRule="auto"/>
        <w:jc w:val="both"/>
        <w:rPr>
          <w:rFonts w:ascii="Arial" w:eastAsia="Times New Roman" w:hAnsi="Arial" w:cs="Arial"/>
          <w:lang w:eastAsia="es-UY"/>
        </w:rPr>
      </w:pPr>
    </w:p>
    <w:p w14:paraId="63D5F8BA" w14:textId="77777777" w:rsidR="00F85A81" w:rsidRPr="007B3BBD" w:rsidRDefault="00F85A81" w:rsidP="00F85A81">
      <w:pPr>
        <w:spacing w:after="0" w:line="240" w:lineRule="auto"/>
        <w:ind w:left="360"/>
        <w:jc w:val="both"/>
        <w:rPr>
          <w:rFonts w:ascii="Arial" w:eastAsia="Times New Roman" w:hAnsi="Arial" w:cs="Arial"/>
          <w:lang w:eastAsia="es-UY"/>
        </w:rPr>
      </w:pPr>
      <w:r w:rsidRPr="007B3BBD">
        <w:rPr>
          <w:rFonts w:ascii="Arial" w:eastAsia="Times New Roman" w:hAnsi="Arial" w:cs="Arial"/>
          <w:b/>
          <w:sz w:val="24"/>
          <w:szCs w:val="24"/>
          <w:u w:val="single"/>
          <w:lang w:eastAsia="es-UY"/>
        </w:rPr>
        <w:t>Etapas del proceso especial de selección:</w:t>
      </w:r>
    </w:p>
    <w:p w14:paraId="22B3DE26"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695E24D4" w14:textId="77777777" w:rsidR="00F85A81" w:rsidRPr="007B3BBD" w:rsidRDefault="00F85A81" w:rsidP="00F85A81">
      <w:pPr>
        <w:numPr>
          <w:ilvl w:val="0"/>
          <w:numId w:val="11"/>
        </w:numPr>
        <w:tabs>
          <w:tab w:val="clear" w:pos="720"/>
          <w:tab w:val="num" w:pos="360"/>
        </w:tabs>
        <w:spacing w:after="0" w:line="240" w:lineRule="auto"/>
        <w:jc w:val="both"/>
        <w:textAlignment w:val="baseline"/>
        <w:rPr>
          <w:rFonts w:ascii="Arial" w:eastAsia="Times New Roman" w:hAnsi="Arial" w:cs="Arial"/>
          <w:lang w:eastAsia="es-UY"/>
        </w:rPr>
      </w:pPr>
      <w:r w:rsidRPr="007B3BBD">
        <w:rPr>
          <w:rFonts w:ascii="Arial" w:eastAsia="Times New Roman" w:hAnsi="Arial" w:cs="Arial"/>
          <w:b/>
          <w:bCs/>
          <w:lang w:eastAsia="es-UY"/>
        </w:rPr>
        <w:t>Convocatoria</w:t>
      </w:r>
      <w:r w:rsidRPr="007B3BBD">
        <w:rPr>
          <w:rFonts w:ascii="Arial" w:eastAsia="Times New Roman" w:hAnsi="Arial" w:cs="Arial"/>
          <w:lang w:eastAsia="es-UY"/>
        </w:rPr>
        <w:t xml:space="preserve">: </w:t>
      </w:r>
      <w:r w:rsidR="00F9289D" w:rsidRPr="007B3BBD">
        <w:rPr>
          <w:rFonts w:ascii="Arial" w:eastAsia="Times New Roman" w:hAnsi="Arial" w:cs="Arial"/>
          <w:lang w:eastAsia="es-UY"/>
        </w:rPr>
        <w:t>l</w:t>
      </w:r>
      <w:r w:rsidRPr="007B3BBD">
        <w:rPr>
          <w:rFonts w:ascii="Arial" w:eastAsia="Times New Roman" w:hAnsi="Arial" w:cs="Arial"/>
          <w:lang w:eastAsia="es-UY"/>
        </w:rPr>
        <w:t>a convocatoria se realiza e</w:t>
      </w:r>
      <w:r w:rsidR="009806B7" w:rsidRPr="007B3BBD">
        <w:rPr>
          <w:rFonts w:ascii="Arial" w:eastAsia="Times New Roman" w:hAnsi="Arial" w:cs="Arial"/>
          <w:lang w:eastAsia="es-UY"/>
        </w:rPr>
        <w:t xml:space="preserve">mpleando el SEACE y </w:t>
      </w:r>
      <w:r w:rsidR="009806B7" w:rsidRPr="007B3BBD">
        <w:rPr>
          <w:rFonts w:ascii="Arial" w:hAnsi="Arial" w:cs="Arial"/>
        </w:rPr>
        <w:t>el valor referencial debe ser público</w:t>
      </w:r>
      <w:r w:rsidRPr="007B3BBD">
        <w:rPr>
          <w:rFonts w:ascii="Arial" w:eastAsia="Times New Roman" w:hAnsi="Arial" w:cs="Arial"/>
          <w:lang w:eastAsia="es-UY"/>
        </w:rPr>
        <w:t>.</w:t>
      </w:r>
    </w:p>
    <w:p w14:paraId="5BB7CEBA" w14:textId="77777777" w:rsidR="00F9289D" w:rsidRPr="007B3BBD" w:rsidRDefault="00F9289D" w:rsidP="005459A8">
      <w:pPr>
        <w:numPr>
          <w:ilvl w:val="0"/>
          <w:numId w:val="11"/>
        </w:numPr>
        <w:tabs>
          <w:tab w:val="clear" w:pos="720"/>
          <w:tab w:val="num" w:pos="360"/>
        </w:tabs>
        <w:spacing w:after="0" w:line="240" w:lineRule="auto"/>
        <w:jc w:val="both"/>
        <w:textAlignment w:val="baseline"/>
        <w:rPr>
          <w:rFonts w:ascii="Arial" w:eastAsia="Times New Roman" w:hAnsi="Arial" w:cs="Arial"/>
          <w:lang w:eastAsia="es-UY"/>
        </w:rPr>
      </w:pPr>
      <w:r w:rsidRPr="007B3BBD">
        <w:rPr>
          <w:rFonts w:ascii="Arial" w:eastAsia="Times New Roman" w:hAnsi="Arial" w:cs="Arial"/>
          <w:b/>
          <w:bCs/>
          <w:lang w:eastAsia="es-UY"/>
        </w:rPr>
        <w:t xml:space="preserve">Registro de participantes: </w:t>
      </w:r>
      <w:r w:rsidRPr="007B3BBD">
        <w:rPr>
          <w:rFonts w:ascii="Arial" w:eastAsia="Times New Roman" w:hAnsi="Arial" w:cs="Arial"/>
          <w:bCs/>
          <w:lang w:eastAsia="es-UY"/>
        </w:rPr>
        <w:t>se efectúa electrónicamente a través del SEACE desde el día siguiente de la convocatoria, siendo requisito para la presentación de la oferta.</w:t>
      </w:r>
    </w:p>
    <w:p w14:paraId="35829D1F" w14:textId="77777777" w:rsidR="00F85A81" w:rsidRPr="007B3BBD" w:rsidRDefault="00F9289D" w:rsidP="005459A8">
      <w:pPr>
        <w:numPr>
          <w:ilvl w:val="0"/>
          <w:numId w:val="11"/>
        </w:numPr>
        <w:tabs>
          <w:tab w:val="clear" w:pos="720"/>
          <w:tab w:val="num" w:pos="360"/>
        </w:tabs>
        <w:spacing w:after="0" w:line="240" w:lineRule="auto"/>
        <w:jc w:val="both"/>
        <w:textAlignment w:val="baseline"/>
        <w:rPr>
          <w:rFonts w:ascii="Arial" w:eastAsia="Times New Roman" w:hAnsi="Arial" w:cs="Arial"/>
          <w:lang w:eastAsia="es-UY"/>
        </w:rPr>
      </w:pPr>
      <w:r w:rsidRPr="007B3BBD">
        <w:rPr>
          <w:rFonts w:ascii="Arial" w:eastAsia="Times New Roman" w:hAnsi="Arial" w:cs="Arial"/>
          <w:b/>
          <w:bCs/>
          <w:lang w:eastAsia="es-UY"/>
        </w:rPr>
        <w:t xml:space="preserve">Presentación de ofertas: </w:t>
      </w:r>
      <w:r w:rsidRPr="007B3BBD">
        <w:rPr>
          <w:rFonts w:ascii="Arial" w:eastAsia="Times New Roman" w:hAnsi="Arial" w:cs="Arial"/>
          <w:bCs/>
          <w:lang w:eastAsia="es-UY"/>
        </w:rPr>
        <w:t xml:space="preserve">se realiza electrónicamente a través del SEACE desde el día siguiente de la convocatoria y hasta la fecha establecida en las bases para ello. El plazo para presentar propuesta no puede ser menor de </w:t>
      </w:r>
      <w:r w:rsidR="00D0595D" w:rsidRPr="007B3BBD">
        <w:rPr>
          <w:rFonts w:ascii="Arial" w:eastAsia="Times New Roman" w:hAnsi="Arial" w:cs="Arial"/>
          <w:bCs/>
          <w:lang w:eastAsia="es-UY"/>
        </w:rPr>
        <w:t xml:space="preserve">ocho </w:t>
      </w:r>
      <w:r w:rsidRPr="007B3BBD">
        <w:rPr>
          <w:rFonts w:ascii="Arial" w:eastAsia="Times New Roman" w:hAnsi="Arial" w:cs="Arial"/>
          <w:bCs/>
          <w:lang w:eastAsia="es-UY"/>
        </w:rPr>
        <w:t>(0</w:t>
      </w:r>
      <w:r w:rsidR="00D0595D" w:rsidRPr="007B3BBD">
        <w:rPr>
          <w:rFonts w:ascii="Arial" w:eastAsia="Times New Roman" w:hAnsi="Arial" w:cs="Arial"/>
          <w:bCs/>
          <w:lang w:eastAsia="es-UY"/>
        </w:rPr>
        <w:t>8</w:t>
      </w:r>
      <w:r w:rsidRPr="007B3BBD">
        <w:rPr>
          <w:rFonts w:ascii="Arial" w:eastAsia="Times New Roman" w:hAnsi="Arial" w:cs="Arial"/>
          <w:bCs/>
          <w:lang w:eastAsia="es-UY"/>
        </w:rPr>
        <w:t>) días hábiles contados desde el día siguiente de realizada la convocatoria.</w:t>
      </w:r>
      <w:r w:rsidRPr="007B3BBD">
        <w:rPr>
          <w:rFonts w:ascii="Arial" w:eastAsia="Times New Roman" w:hAnsi="Arial" w:cs="Arial"/>
          <w:bCs/>
          <w:lang w:eastAsia="es-UY"/>
        </w:rPr>
        <w:cr/>
      </w:r>
      <w:r w:rsidRPr="007B3BBD" w:rsidDel="00F9289D">
        <w:rPr>
          <w:rFonts w:ascii="Arial" w:eastAsia="Times New Roman" w:hAnsi="Arial" w:cs="Arial"/>
          <w:b/>
          <w:bCs/>
          <w:lang w:eastAsia="es-UY"/>
        </w:rPr>
        <w:t xml:space="preserve"> </w:t>
      </w:r>
    </w:p>
    <w:p w14:paraId="6ED28926" w14:textId="77777777" w:rsidR="00F85A81" w:rsidRPr="007B3BBD" w:rsidRDefault="00F85A81" w:rsidP="00F85A81">
      <w:pPr>
        <w:spacing w:after="0" w:line="240" w:lineRule="auto"/>
        <w:ind w:left="720"/>
        <w:jc w:val="both"/>
        <w:rPr>
          <w:rFonts w:ascii="Arial" w:eastAsia="Times New Roman" w:hAnsi="Arial" w:cs="Arial"/>
          <w:lang w:eastAsia="es-UY"/>
        </w:rPr>
      </w:pPr>
      <w:r w:rsidRPr="007B3BBD">
        <w:rPr>
          <w:rFonts w:ascii="Arial" w:eastAsia="Times New Roman" w:hAnsi="Arial" w:cs="Arial"/>
          <w:lang w:eastAsia="es-UY"/>
        </w:rPr>
        <w:t>La oferta económica debe incluir todos los costos por tributos, seguros, transportes, inspecciones, pruebas y los costos laborales conforme a la legislación vigente; así como cualquier otro concepto que pueda tener incidencia sobre la prestación. El monto total ofertado debe ser consignado en soles y máximo con dos decimales.</w:t>
      </w:r>
    </w:p>
    <w:p w14:paraId="1DE45D4F" w14:textId="77777777" w:rsidR="00F85A81" w:rsidRPr="007B3BBD" w:rsidRDefault="00F85A81" w:rsidP="00F85A81">
      <w:pPr>
        <w:spacing w:after="0" w:line="240" w:lineRule="auto"/>
        <w:ind w:left="720"/>
        <w:jc w:val="both"/>
        <w:rPr>
          <w:rFonts w:ascii="Arial" w:eastAsia="Times New Roman" w:hAnsi="Arial" w:cs="Arial"/>
          <w:lang w:eastAsia="es-UY"/>
        </w:rPr>
      </w:pPr>
    </w:p>
    <w:p w14:paraId="5CDC65C1" w14:textId="77777777" w:rsidR="007D5C93" w:rsidRPr="007B3BBD" w:rsidRDefault="007D5C93" w:rsidP="00327128">
      <w:pPr>
        <w:spacing w:after="0" w:line="240" w:lineRule="auto"/>
        <w:ind w:left="708"/>
        <w:jc w:val="both"/>
        <w:rPr>
          <w:rFonts w:ascii="Arial" w:hAnsi="Arial" w:cs="Arial"/>
        </w:rPr>
      </w:pPr>
      <w:r w:rsidRPr="007B3BBD">
        <w:rPr>
          <w:rFonts w:ascii="Arial" w:hAnsi="Arial" w:cs="Arial"/>
        </w:rPr>
        <w:t xml:space="preserve">Para los </w:t>
      </w:r>
      <w:r w:rsidR="00937ECC" w:rsidRPr="007B3BBD">
        <w:rPr>
          <w:rFonts w:ascii="Arial" w:hAnsi="Arial" w:cs="Arial"/>
        </w:rPr>
        <w:t xml:space="preserve">procesos de selección de </w:t>
      </w:r>
      <w:r w:rsidRPr="007B3BBD">
        <w:rPr>
          <w:rFonts w:ascii="Arial" w:hAnsi="Arial" w:cs="Arial"/>
        </w:rPr>
        <w:t xml:space="preserve">servicios de </w:t>
      </w:r>
      <w:r w:rsidRPr="007B3BBD">
        <w:rPr>
          <w:rFonts w:ascii="Arial" w:hAnsi="Arial" w:cs="Arial"/>
          <w:b/>
        </w:rPr>
        <w:t>mantenimiento rutinario y mantenimiento periódico</w:t>
      </w:r>
      <w:r w:rsidRPr="007B3BBD">
        <w:rPr>
          <w:rFonts w:ascii="Arial" w:hAnsi="Arial" w:cs="Arial"/>
        </w:rPr>
        <w:t xml:space="preserve">, la Entidad rechaza las ofertas que excedan el valor referencial o que se encuentran por debajo del ochenta por ciento (80%) del valor </w:t>
      </w:r>
      <w:r w:rsidRPr="007B3BBD">
        <w:rPr>
          <w:rFonts w:ascii="Arial" w:hAnsi="Arial" w:cs="Arial"/>
        </w:rPr>
        <w:lastRenderedPageBreak/>
        <w:t>referencia</w:t>
      </w:r>
      <w:r w:rsidR="00E30035" w:rsidRPr="007B3BBD">
        <w:rPr>
          <w:rFonts w:ascii="Arial" w:hAnsi="Arial" w:cs="Arial"/>
        </w:rPr>
        <w:t>l. En</w:t>
      </w:r>
      <w:r w:rsidR="00F9289D" w:rsidRPr="007B3BBD">
        <w:rPr>
          <w:rFonts w:ascii="Arial" w:hAnsi="Arial" w:cs="Arial"/>
        </w:rPr>
        <w:t xml:space="preserve"> caso de </w:t>
      </w:r>
      <w:r w:rsidR="00E30035" w:rsidRPr="007B3BBD">
        <w:rPr>
          <w:rFonts w:ascii="Arial" w:hAnsi="Arial" w:cs="Arial"/>
        </w:rPr>
        <w:t xml:space="preserve">otros objetos contractuales </w:t>
      </w:r>
      <w:r w:rsidR="00F9289D" w:rsidRPr="007B3BBD">
        <w:rPr>
          <w:rFonts w:ascii="Arial" w:hAnsi="Arial" w:cs="Arial"/>
        </w:rPr>
        <w:t xml:space="preserve">no hay límites para </w:t>
      </w:r>
      <w:r w:rsidR="00E30035" w:rsidRPr="007B3BBD">
        <w:rPr>
          <w:rFonts w:ascii="Arial" w:hAnsi="Arial" w:cs="Arial"/>
        </w:rPr>
        <w:t>la oferta económica</w:t>
      </w:r>
      <w:r w:rsidR="00F9289D" w:rsidRPr="007B3BBD">
        <w:rPr>
          <w:rFonts w:ascii="Arial" w:hAnsi="Arial" w:cs="Arial"/>
        </w:rPr>
        <w:t>.</w:t>
      </w:r>
    </w:p>
    <w:p w14:paraId="0E3896F3" w14:textId="77777777" w:rsidR="007D5C93" w:rsidRPr="007B3BBD" w:rsidRDefault="007D5C93" w:rsidP="00F85A81">
      <w:pPr>
        <w:spacing w:after="0" w:line="240" w:lineRule="auto"/>
        <w:ind w:left="720"/>
        <w:jc w:val="both"/>
        <w:rPr>
          <w:rFonts w:ascii="Arial" w:eastAsia="Times New Roman" w:hAnsi="Arial" w:cs="Arial"/>
          <w:lang w:eastAsia="es-UY"/>
        </w:rPr>
      </w:pPr>
    </w:p>
    <w:p w14:paraId="2C03A918" w14:textId="77777777" w:rsidR="008F1AEE" w:rsidRPr="007B3BBD" w:rsidRDefault="008F1AEE" w:rsidP="008F1AEE">
      <w:pPr>
        <w:spacing w:after="0" w:line="240" w:lineRule="auto"/>
        <w:ind w:left="720"/>
        <w:jc w:val="both"/>
        <w:rPr>
          <w:rFonts w:ascii="Arial" w:eastAsia="Times New Roman" w:hAnsi="Arial" w:cs="Arial"/>
          <w:lang w:eastAsia="es-UY"/>
        </w:rPr>
      </w:pPr>
      <w:r w:rsidRPr="007B3BBD">
        <w:rPr>
          <w:rFonts w:ascii="Arial" w:eastAsia="Times New Roman" w:hAnsi="Arial" w:cs="Arial"/>
          <w:lang w:eastAsia="es-UY"/>
        </w:rPr>
        <w:t>En los sistemas de contratación a precios unitarios, cuando se advierta errores aritméticos, corresponde su corrección al órgano a cargo del procedimiento, debiendo constar dicha rectificación en el acta respectiva; en este último caso, dicha corrección no implica la variación de los precios unitarios ofertados</w:t>
      </w:r>
    </w:p>
    <w:p w14:paraId="237AB5C4" w14:textId="77777777" w:rsidR="008F1AEE" w:rsidRPr="007B3BBD" w:rsidRDefault="008F1AEE" w:rsidP="00F85A81">
      <w:pPr>
        <w:spacing w:after="0" w:line="240" w:lineRule="auto"/>
        <w:ind w:left="720"/>
        <w:jc w:val="both"/>
        <w:rPr>
          <w:rFonts w:ascii="Arial" w:eastAsia="Times New Roman" w:hAnsi="Arial" w:cs="Arial"/>
          <w:lang w:eastAsia="es-UY"/>
        </w:rPr>
      </w:pPr>
    </w:p>
    <w:p w14:paraId="359BF4F3" w14:textId="77777777" w:rsidR="008F1AEE" w:rsidRPr="007B3BBD" w:rsidRDefault="00F85A81" w:rsidP="00F85A81">
      <w:pPr>
        <w:spacing w:after="0" w:line="240" w:lineRule="auto"/>
        <w:ind w:left="720"/>
        <w:jc w:val="both"/>
        <w:rPr>
          <w:rFonts w:ascii="Arial" w:eastAsia="Times New Roman" w:hAnsi="Arial" w:cs="Arial"/>
          <w:lang w:eastAsia="es-UY"/>
        </w:rPr>
      </w:pPr>
      <w:r w:rsidRPr="007B3BBD">
        <w:rPr>
          <w:rFonts w:ascii="Arial" w:eastAsia="Times New Roman" w:hAnsi="Arial" w:cs="Arial"/>
          <w:lang w:eastAsia="es-UY"/>
        </w:rPr>
        <w:t>Asimismo, el procedimiento especial no admite postergaciones de ninguna etapa</w:t>
      </w:r>
      <w:r w:rsidR="008F1AEE" w:rsidRPr="007B3BBD">
        <w:rPr>
          <w:rFonts w:ascii="Arial" w:eastAsia="Times New Roman" w:hAnsi="Arial" w:cs="Arial"/>
          <w:lang w:eastAsia="es-UY"/>
        </w:rPr>
        <w:t>.</w:t>
      </w:r>
    </w:p>
    <w:p w14:paraId="3B10D276"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0F66DDF3" w14:textId="4B3ECA4F" w:rsidR="00F85A81" w:rsidRPr="007B3BBD" w:rsidRDefault="00F85A81" w:rsidP="00422A02">
      <w:pPr>
        <w:pStyle w:val="Prrafodelista"/>
        <w:numPr>
          <w:ilvl w:val="0"/>
          <w:numId w:val="11"/>
        </w:numPr>
        <w:textAlignment w:val="baseline"/>
        <w:rPr>
          <w:rFonts w:eastAsia="Times New Roman"/>
          <w:lang w:eastAsia="es-UY"/>
        </w:rPr>
      </w:pPr>
      <w:r w:rsidRPr="007B3BBD">
        <w:rPr>
          <w:rFonts w:eastAsia="Times New Roman"/>
          <w:b/>
          <w:bCs/>
          <w:lang w:eastAsia="es-UY"/>
        </w:rPr>
        <w:t>Evaluación de las ofertas y otorgamiento de la buena pro</w:t>
      </w:r>
      <w:r w:rsidRPr="007B3BBD">
        <w:rPr>
          <w:rFonts w:eastAsia="Times New Roman"/>
          <w:lang w:eastAsia="es-UY"/>
        </w:rPr>
        <w:t>: Culminada la etapa de presentación de ofertas, el conductor del procedimiento debe evaluar las mismas y registrar el otorgamiento de la buena pro en el SEACE en un plazo máximo de dos (02) días hábiles.</w:t>
      </w:r>
    </w:p>
    <w:p w14:paraId="785D6806" w14:textId="77777777" w:rsidR="00F85A81" w:rsidRPr="007B3BBD" w:rsidRDefault="00F85A81" w:rsidP="00F85A81">
      <w:pPr>
        <w:spacing w:after="0" w:line="240" w:lineRule="auto"/>
        <w:rPr>
          <w:rFonts w:ascii="Times New Roman" w:eastAsia="Times New Roman" w:hAnsi="Times New Roman"/>
          <w:lang w:eastAsia="es-UY"/>
        </w:rPr>
      </w:pPr>
    </w:p>
    <w:p w14:paraId="326CA996" w14:textId="77777777" w:rsidR="00F85A81" w:rsidRPr="007B3BBD" w:rsidRDefault="00F85A81" w:rsidP="00FF1BD2">
      <w:pPr>
        <w:spacing w:after="0" w:line="240" w:lineRule="auto"/>
        <w:ind w:left="709" w:hanging="1"/>
        <w:jc w:val="both"/>
        <w:rPr>
          <w:rFonts w:ascii="Times New Roman" w:eastAsia="Times New Roman" w:hAnsi="Times New Roman"/>
          <w:lang w:eastAsia="es-UY"/>
        </w:rPr>
      </w:pPr>
      <w:r w:rsidRPr="007B3BBD">
        <w:rPr>
          <w:rFonts w:ascii="Arial" w:eastAsia="Times New Roman" w:hAnsi="Arial" w:cs="Arial"/>
          <w:lang w:eastAsia="es-UY"/>
        </w:rPr>
        <w:t>Una vez verificada la presentación de la documentación o información consignada en las bases,</w:t>
      </w:r>
      <w:r w:rsidR="00FF1BD2" w:rsidRPr="007B3BBD">
        <w:rPr>
          <w:rFonts w:ascii="Arial" w:eastAsia="Times New Roman" w:hAnsi="Arial" w:cs="Arial"/>
          <w:lang w:eastAsia="es-UY"/>
        </w:rPr>
        <w:t xml:space="preserve"> el único factor de evaluación será el precio, </w:t>
      </w:r>
      <w:r w:rsidRPr="007B3BBD">
        <w:rPr>
          <w:rFonts w:ascii="Arial" w:eastAsia="Times New Roman" w:hAnsi="Arial" w:cs="Arial"/>
          <w:lang w:eastAsia="es-UY"/>
        </w:rPr>
        <w:t>el conductor del proceso asigna cien (100) puntos a la oferta económica de menor monto. Al resto de ofertas les asignan un puntaje inversamente proporcional, de acuerdo a la siguiente fórmula: </w:t>
      </w:r>
    </w:p>
    <w:p w14:paraId="0DB2BFA1" w14:textId="77777777" w:rsidR="00F85A81" w:rsidRPr="007B3BBD" w:rsidRDefault="00F85A81" w:rsidP="00F85A81">
      <w:pPr>
        <w:spacing w:after="0" w:line="240" w:lineRule="auto"/>
        <w:rPr>
          <w:rFonts w:ascii="Times New Roman" w:eastAsia="Times New Roman" w:hAnsi="Times New Roman"/>
          <w:lang w:eastAsia="es-UY"/>
        </w:rPr>
      </w:pPr>
    </w:p>
    <w:p w14:paraId="1D6E38B1" w14:textId="77777777" w:rsidR="00F85A81" w:rsidRPr="007B3BBD" w:rsidRDefault="00F85A81" w:rsidP="00F85A81">
      <w:pPr>
        <w:spacing w:after="0" w:line="240" w:lineRule="auto"/>
        <w:ind w:left="560" w:hanging="280"/>
        <w:jc w:val="center"/>
        <w:rPr>
          <w:rFonts w:ascii="Times New Roman" w:eastAsia="Times New Roman" w:hAnsi="Times New Roman"/>
          <w:lang w:val="en-US" w:eastAsia="es-UY"/>
        </w:rPr>
      </w:pPr>
      <w:proofErr w:type="gramStart"/>
      <w:r w:rsidRPr="007B3BBD">
        <w:rPr>
          <w:rFonts w:ascii="Arial" w:eastAsia="Times New Roman" w:hAnsi="Arial" w:cs="Arial"/>
          <w:lang w:val="en-US" w:eastAsia="es-UY"/>
        </w:rPr>
        <w:t>Pi  =</w:t>
      </w:r>
      <w:proofErr w:type="gramEnd"/>
      <w:r w:rsidRPr="007B3BBD">
        <w:rPr>
          <w:rFonts w:ascii="Arial" w:eastAsia="Times New Roman" w:hAnsi="Arial" w:cs="Arial"/>
          <w:lang w:val="en-US" w:eastAsia="es-UY"/>
        </w:rPr>
        <w:t xml:space="preserve"> </w:t>
      </w:r>
      <w:r w:rsidRPr="007B3BBD">
        <w:rPr>
          <w:rFonts w:ascii="Arial" w:eastAsia="Times New Roman" w:hAnsi="Arial" w:cs="Arial"/>
          <w:u w:val="single"/>
          <w:lang w:val="en-US" w:eastAsia="es-UY"/>
        </w:rPr>
        <w:t>Om x PMP</w:t>
      </w:r>
    </w:p>
    <w:p w14:paraId="2881906E" w14:textId="77777777" w:rsidR="00F85A81" w:rsidRPr="007B3BBD" w:rsidRDefault="00F85A81" w:rsidP="00F85A81">
      <w:pPr>
        <w:spacing w:after="0" w:line="240" w:lineRule="auto"/>
        <w:ind w:left="560" w:hanging="280"/>
        <w:jc w:val="center"/>
        <w:rPr>
          <w:rFonts w:ascii="Times New Roman" w:eastAsia="Times New Roman" w:hAnsi="Times New Roman"/>
          <w:lang w:val="en-US" w:eastAsia="es-UY"/>
        </w:rPr>
      </w:pPr>
      <w:r w:rsidRPr="007B3BBD">
        <w:rPr>
          <w:rFonts w:ascii="Arial" w:eastAsia="Times New Roman" w:hAnsi="Arial" w:cs="Arial"/>
          <w:lang w:val="en-US" w:eastAsia="es-UY"/>
        </w:rPr>
        <w:t>Oi</w:t>
      </w:r>
    </w:p>
    <w:p w14:paraId="0D8E934C" w14:textId="77777777" w:rsidR="00F85A81" w:rsidRPr="007B3BBD" w:rsidRDefault="00F85A81" w:rsidP="00F85A81">
      <w:pPr>
        <w:spacing w:after="0" w:line="240" w:lineRule="auto"/>
        <w:ind w:left="1620"/>
        <w:jc w:val="both"/>
        <w:rPr>
          <w:rFonts w:ascii="Times New Roman" w:eastAsia="Times New Roman" w:hAnsi="Times New Roman"/>
          <w:lang w:val="en-US" w:eastAsia="es-UY"/>
        </w:rPr>
      </w:pPr>
      <w:proofErr w:type="spellStart"/>
      <w:r w:rsidRPr="007B3BBD">
        <w:rPr>
          <w:rFonts w:ascii="Arial" w:eastAsia="Times New Roman" w:hAnsi="Arial" w:cs="Arial"/>
          <w:lang w:val="en-US" w:eastAsia="es-UY"/>
        </w:rPr>
        <w:t>Donde</w:t>
      </w:r>
      <w:proofErr w:type="spellEnd"/>
      <w:r w:rsidRPr="007B3BBD">
        <w:rPr>
          <w:rFonts w:ascii="Arial" w:eastAsia="Times New Roman" w:hAnsi="Arial" w:cs="Arial"/>
          <w:lang w:val="en-US" w:eastAsia="es-UY"/>
        </w:rPr>
        <w:t>:</w:t>
      </w:r>
    </w:p>
    <w:p w14:paraId="31B57B17" w14:textId="77777777" w:rsidR="00F85A81" w:rsidRPr="007B3BBD" w:rsidRDefault="00F85A81" w:rsidP="00F85A81">
      <w:pPr>
        <w:spacing w:after="0" w:line="240" w:lineRule="auto"/>
        <w:ind w:left="1620"/>
        <w:jc w:val="both"/>
        <w:rPr>
          <w:rFonts w:ascii="Times New Roman" w:eastAsia="Times New Roman" w:hAnsi="Times New Roman"/>
          <w:lang w:eastAsia="es-UY"/>
        </w:rPr>
      </w:pPr>
      <w:proofErr w:type="gramStart"/>
      <w:r w:rsidRPr="007B3BBD">
        <w:rPr>
          <w:rFonts w:ascii="Arial" w:eastAsia="Times New Roman" w:hAnsi="Arial" w:cs="Arial"/>
          <w:lang w:eastAsia="es-UY"/>
        </w:rPr>
        <w:t>I  =</w:t>
      </w:r>
      <w:proofErr w:type="gramEnd"/>
      <w:r w:rsidRPr="007B3BBD">
        <w:rPr>
          <w:rFonts w:ascii="Arial" w:eastAsia="Times New Roman" w:hAnsi="Arial" w:cs="Arial"/>
          <w:lang w:eastAsia="es-UY"/>
        </w:rPr>
        <w:t xml:space="preserve"> Oferta</w:t>
      </w:r>
    </w:p>
    <w:p w14:paraId="1A3FE8D7" w14:textId="77777777" w:rsidR="00E30035" w:rsidRPr="007B3BBD" w:rsidRDefault="00F85A81" w:rsidP="00F85A81">
      <w:pPr>
        <w:spacing w:after="0" w:line="240" w:lineRule="auto"/>
        <w:ind w:left="1620"/>
        <w:jc w:val="both"/>
        <w:rPr>
          <w:rFonts w:ascii="Arial" w:eastAsia="Times New Roman" w:hAnsi="Arial" w:cs="Arial"/>
          <w:lang w:eastAsia="es-UY"/>
        </w:rPr>
      </w:pPr>
      <w:r w:rsidRPr="007B3BBD">
        <w:rPr>
          <w:rFonts w:ascii="Arial" w:eastAsia="Times New Roman" w:hAnsi="Arial" w:cs="Arial"/>
          <w:lang w:eastAsia="es-UY"/>
        </w:rPr>
        <w:t xml:space="preserve">Pi = Puntaje de la oferta a evaluar </w:t>
      </w:r>
    </w:p>
    <w:p w14:paraId="20D43E86" w14:textId="77777777" w:rsidR="00F85A81" w:rsidRPr="007B3BBD" w:rsidRDefault="00F85A81" w:rsidP="00F85A81">
      <w:pPr>
        <w:spacing w:after="0" w:line="240" w:lineRule="auto"/>
        <w:ind w:left="1620"/>
        <w:jc w:val="both"/>
        <w:rPr>
          <w:rFonts w:ascii="Times New Roman" w:eastAsia="Times New Roman" w:hAnsi="Times New Roman"/>
          <w:lang w:eastAsia="es-UY"/>
        </w:rPr>
      </w:pPr>
      <w:proofErr w:type="spellStart"/>
      <w:r w:rsidRPr="007B3BBD">
        <w:rPr>
          <w:rFonts w:ascii="Arial" w:eastAsia="Times New Roman" w:hAnsi="Arial" w:cs="Arial"/>
          <w:lang w:eastAsia="es-UY"/>
        </w:rPr>
        <w:t>Oi</w:t>
      </w:r>
      <w:proofErr w:type="spellEnd"/>
      <w:r w:rsidRPr="007B3BBD">
        <w:rPr>
          <w:rFonts w:ascii="Arial" w:eastAsia="Times New Roman" w:hAnsi="Arial" w:cs="Arial"/>
          <w:lang w:eastAsia="es-UY"/>
        </w:rPr>
        <w:t xml:space="preserve">    </w:t>
      </w:r>
      <w:r w:rsidRPr="007B3BBD">
        <w:rPr>
          <w:rFonts w:ascii="Arial" w:eastAsia="Times New Roman" w:hAnsi="Arial" w:cs="Arial"/>
          <w:lang w:eastAsia="es-UY"/>
        </w:rPr>
        <w:tab/>
        <w:t>= Precio i</w:t>
      </w:r>
    </w:p>
    <w:p w14:paraId="096F59EC" w14:textId="77777777" w:rsidR="00E30035" w:rsidRPr="007B3BBD" w:rsidRDefault="00F85A81" w:rsidP="00F85A81">
      <w:pPr>
        <w:spacing w:after="0" w:line="240" w:lineRule="auto"/>
        <w:ind w:left="1620"/>
        <w:jc w:val="both"/>
        <w:rPr>
          <w:rFonts w:ascii="Arial" w:eastAsia="Times New Roman" w:hAnsi="Arial" w:cs="Arial"/>
          <w:lang w:eastAsia="es-UY"/>
        </w:rPr>
      </w:pPr>
      <w:proofErr w:type="spellStart"/>
      <w:r w:rsidRPr="007B3BBD">
        <w:rPr>
          <w:rFonts w:ascii="Arial" w:eastAsia="Times New Roman" w:hAnsi="Arial" w:cs="Arial"/>
          <w:lang w:eastAsia="es-UY"/>
        </w:rPr>
        <w:t>Om</w:t>
      </w:r>
      <w:proofErr w:type="spellEnd"/>
      <w:r w:rsidRPr="007B3BBD">
        <w:rPr>
          <w:rFonts w:ascii="Arial" w:eastAsia="Times New Roman" w:hAnsi="Arial" w:cs="Arial"/>
          <w:lang w:eastAsia="es-UY"/>
        </w:rPr>
        <w:t xml:space="preserve"> = Precio de la oferta más baja </w:t>
      </w:r>
    </w:p>
    <w:p w14:paraId="0FD971E7" w14:textId="77777777" w:rsidR="00F85A81" w:rsidRPr="007B3BBD" w:rsidRDefault="00F85A81" w:rsidP="00F85A81">
      <w:pPr>
        <w:spacing w:after="0" w:line="240" w:lineRule="auto"/>
        <w:ind w:left="1620"/>
        <w:jc w:val="both"/>
        <w:rPr>
          <w:rFonts w:ascii="Times New Roman" w:eastAsia="Times New Roman" w:hAnsi="Times New Roman"/>
          <w:lang w:eastAsia="es-UY"/>
        </w:rPr>
      </w:pPr>
      <w:r w:rsidRPr="007B3BBD">
        <w:rPr>
          <w:rFonts w:ascii="Arial" w:eastAsia="Times New Roman" w:hAnsi="Arial" w:cs="Arial"/>
          <w:lang w:eastAsia="es-UY"/>
        </w:rPr>
        <w:t>PMP = Puntaje máximo del precio</w:t>
      </w:r>
    </w:p>
    <w:p w14:paraId="23F3631E" w14:textId="77777777" w:rsidR="00371AE1" w:rsidRPr="007B3BBD" w:rsidRDefault="00371AE1" w:rsidP="005459A8">
      <w:pPr>
        <w:spacing w:after="0" w:line="240" w:lineRule="auto"/>
        <w:jc w:val="both"/>
        <w:rPr>
          <w:rFonts w:ascii="Arial" w:eastAsia="Times New Roman" w:hAnsi="Arial" w:cs="Arial"/>
          <w:lang w:eastAsia="es-UY"/>
        </w:rPr>
      </w:pPr>
    </w:p>
    <w:p w14:paraId="4B2E3237" w14:textId="77777777" w:rsidR="00F85A81" w:rsidRPr="007B3BBD" w:rsidRDefault="00DC1B2C" w:rsidP="00F85A81">
      <w:pPr>
        <w:spacing w:after="0" w:line="240" w:lineRule="auto"/>
        <w:ind w:left="708"/>
        <w:jc w:val="both"/>
        <w:rPr>
          <w:rFonts w:ascii="Arial" w:eastAsia="Times New Roman" w:hAnsi="Arial" w:cs="Arial"/>
          <w:lang w:eastAsia="es-UY"/>
        </w:rPr>
      </w:pPr>
      <w:r w:rsidRPr="007B3BBD">
        <w:rPr>
          <w:rFonts w:ascii="Arial" w:eastAsia="Times New Roman" w:hAnsi="Arial" w:cs="Arial"/>
          <w:lang w:eastAsia="es-UY"/>
        </w:rPr>
        <w:t xml:space="preserve">En caso de empate, la buena pro se otorga teniendo en cuenta </w:t>
      </w:r>
      <w:r w:rsidR="00371AE1" w:rsidRPr="007B3BBD">
        <w:rPr>
          <w:rFonts w:ascii="Arial" w:eastAsia="Times New Roman" w:hAnsi="Arial" w:cs="Arial"/>
          <w:lang w:eastAsia="es-UY"/>
        </w:rPr>
        <w:t xml:space="preserve">los </w:t>
      </w:r>
      <w:r w:rsidRPr="007B3BBD">
        <w:rPr>
          <w:rFonts w:ascii="Arial" w:eastAsia="Times New Roman" w:hAnsi="Arial" w:cs="Arial"/>
          <w:lang w:eastAsia="es-UY"/>
        </w:rPr>
        <w:t>siguiente</w:t>
      </w:r>
      <w:r w:rsidR="00371AE1" w:rsidRPr="007B3BBD">
        <w:rPr>
          <w:rFonts w:ascii="Arial" w:eastAsia="Times New Roman" w:hAnsi="Arial" w:cs="Arial"/>
          <w:lang w:eastAsia="es-UY"/>
        </w:rPr>
        <w:t>s criterios de desempate, según</w:t>
      </w:r>
      <w:r w:rsidRPr="007B3BBD">
        <w:rPr>
          <w:rFonts w:ascii="Arial" w:eastAsia="Times New Roman" w:hAnsi="Arial" w:cs="Arial"/>
          <w:lang w:eastAsia="es-UY"/>
        </w:rPr>
        <w:t xml:space="preserve"> orden de prelación: i) en favor de la micro y pequeña empresa cuyo domicilio se encuentre ubicado en la provincia o provincia colindante donde se ejecuta la prestación, sean o no pertenecientes al mismo departamento o región, para lo cual los postores pueden presentar la declaración jurada respectiva, la misma que será validada por el conductor del proceso teniendo en cuenta el domicilio que figura en la constancia del RNP</w:t>
      </w:r>
      <w:r w:rsidR="00371AE1" w:rsidRPr="007B3BBD">
        <w:rPr>
          <w:rFonts w:ascii="Arial" w:eastAsia="Times New Roman" w:hAnsi="Arial" w:cs="Arial"/>
          <w:lang w:eastAsia="es-UY"/>
        </w:rPr>
        <w:t>. En caso de existir varios postores empatados que cumplan con esta condición, se decide por sorteo a través del SEACE</w:t>
      </w:r>
      <w:r w:rsidRPr="007B3BBD">
        <w:rPr>
          <w:rFonts w:ascii="Arial" w:eastAsia="Times New Roman" w:hAnsi="Arial" w:cs="Arial"/>
          <w:lang w:eastAsia="es-UY"/>
        </w:rPr>
        <w:t>; ii) en favor de la micro y pequeña empresa</w:t>
      </w:r>
      <w:r w:rsidR="00371AE1" w:rsidRPr="007B3BBD">
        <w:rPr>
          <w:rFonts w:ascii="Arial" w:eastAsia="Times New Roman" w:hAnsi="Arial" w:cs="Arial"/>
          <w:lang w:eastAsia="es-UY"/>
        </w:rPr>
        <w:t>.</w:t>
      </w:r>
      <w:r w:rsidRPr="007B3BBD">
        <w:rPr>
          <w:rFonts w:ascii="Arial" w:eastAsia="Times New Roman" w:hAnsi="Arial" w:cs="Arial"/>
          <w:lang w:eastAsia="es-UY"/>
        </w:rPr>
        <w:t xml:space="preserve"> </w:t>
      </w:r>
      <w:r w:rsidR="00371AE1" w:rsidRPr="007B3BBD">
        <w:rPr>
          <w:rFonts w:ascii="Arial" w:eastAsia="Times New Roman" w:hAnsi="Arial" w:cs="Arial"/>
          <w:lang w:eastAsia="es-UY"/>
        </w:rPr>
        <w:t xml:space="preserve">En caso de existir varios postores empatados que cumplan con esta condición, se decide por sorteo a través del SEACE; iii) por </w:t>
      </w:r>
      <w:r w:rsidRPr="007B3BBD">
        <w:rPr>
          <w:rFonts w:ascii="Arial" w:eastAsia="Times New Roman" w:hAnsi="Arial" w:cs="Arial"/>
          <w:lang w:eastAsia="es-UY"/>
        </w:rPr>
        <w:t xml:space="preserve">sorteo a </w:t>
      </w:r>
      <w:r w:rsidR="007003C0" w:rsidRPr="007B3BBD">
        <w:rPr>
          <w:rFonts w:ascii="Arial" w:eastAsia="Times New Roman" w:hAnsi="Arial" w:cs="Arial"/>
          <w:lang w:eastAsia="es-UY"/>
        </w:rPr>
        <w:t xml:space="preserve">través del </w:t>
      </w:r>
      <w:r w:rsidR="00F85A81" w:rsidRPr="007B3BBD">
        <w:rPr>
          <w:rFonts w:ascii="Arial" w:eastAsia="Times New Roman" w:hAnsi="Arial" w:cs="Arial"/>
          <w:lang w:eastAsia="es-UY"/>
        </w:rPr>
        <w:t>SEACE.</w:t>
      </w:r>
    </w:p>
    <w:p w14:paraId="46494A49" w14:textId="77777777" w:rsidR="00F85A81" w:rsidRPr="007B3BBD" w:rsidRDefault="00F85A81" w:rsidP="00F85A81">
      <w:pPr>
        <w:spacing w:after="0" w:line="240" w:lineRule="auto"/>
        <w:ind w:left="1260"/>
        <w:jc w:val="both"/>
        <w:rPr>
          <w:rFonts w:ascii="Arial" w:eastAsia="Times New Roman" w:hAnsi="Arial" w:cs="Arial"/>
          <w:lang w:eastAsia="es-UY"/>
        </w:rPr>
      </w:pPr>
    </w:p>
    <w:p w14:paraId="04B3B85A" w14:textId="77777777" w:rsidR="00F85A81" w:rsidRPr="007B3BBD" w:rsidRDefault="00F85A81" w:rsidP="00F85A81">
      <w:pPr>
        <w:spacing w:after="0" w:line="240" w:lineRule="auto"/>
        <w:ind w:left="708"/>
        <w:jc w:val="both"/>
        <w:rPr>
          <w:rFonts w:ascii="Times New Roman" w:eastAsia="Times New Roman" w:hAnsi="Times New Roman"/>
          <w:lang w:eastAsia="es-UY"/>
        </w:rPr>
      </w:pPr>
      <w:r w:rsidRPr="007B3BBD">
        <w:rPr>
          <w:rFonts w:ascii="Arial" w:eastAsia="Times New Roman" w:hAnsi="Arial" w:cs="Arial"/>
          <w:lang w:eastAsia="es-UY"/>
        </w:rPr>
        <w:t xml:space="preserve">En el caso de precios unitarios la oferta económica debe acompañarse por un anexo único que detalle </w:t>
      </w:r>
      <w:r w:rsidR="006F0BCC" w:rsidRPr="007B3BBD">
        <w:rPr>
          <w:rFonts w:ascii="Arial" w:eastAsia="Times New Roman" w:hAnsi="Arial" w:cs="Arial"/>
          <w:lang w:eastAsia="es-UY"/>
        </w:rPr>
        <w:t>los</w:t>
      </w:r>
      <w:r w:rsidRPr="007B3BBD">
        <w:rPr>
          <w:rFonts w:ascii="Arial" w:eastAsia="Times New Roman" w:hAnsi="Arial" w:cs="Arial"/>
          <w:lang w:eastAsia="es-UY"/>
        </w:rPr>
        <w:t xml:space="preserve"> costos de las actividades a ejecutar</w:t>
      </w:r>
      <w:r w:rsidR="007003C0" w:rsidRPr="007B3BBD">
        <w:rPr>
          <w:rFonts w:ascii="Arial" w:eastAsia="Times New Roman" w:hAnsi="Arial" w:cs="Arial"/>
          <w:lang w:eastAsia="es-UY"/>
        </w:rPr>
        <w:t>.</w:t>
      </w:r>
    </w:p>
    <w:p w14:paraId="7DB40266" w14:textId="77777777" w:rsidR="00F85A81" w:rsidRPr="007B3BBD" w:rsidRDefault="00F85A81" w:rsidP="00F85A81">
      <w:pPr>
        <w:spacing w:after="0" w:line="240" w:lineRule="auto"/>
        <w:ind w:left="708"/>
        <w:jc w:val="both"/>
        <w:rPr>
          <w:rFonts w:ascii="Times New Roman" w:eastAsia="Times New Roman" w:hAnsi="Times New Roman"/>
          <w:lang w:eastAsia="es-UY"/>
        </w:rPr>
      </w:pPr>
    </w:p>
    <w:p w14:paraId="7DCCFB9C" w14:textId="77777777" w:rsidR="00F85A81" w:rsidRPr="007B3BBD" w:rsidRDefault="00F85A81" w:rsidP="00F85A81">
      <w:pPr>
        <w:spacing w:after="0" w:line="240" w:lineRule="auto"/>
        <w:ind w:left="708"/>
        <w:jc w:val="both"/>
        <w:rPr>
          <w:rFonts w:ascii="Times New Roman" w:eastAsia="Times New Roman" w:hAnsi="Times New Roman"/>
          <w:lang w:eastAsia="es-UY"/>
        </w:rPr>
      </w:pPr>
      <w:r w:rsidRPr="007B3BBD">
        <w:rPr>
          <w:rFonts w:ascii="Arial" w:eastAsia="Times New Roman" w:hAnsi="Arial" w:cs="Arial"/>
          <w:lang w:eastAsia="es-UY"/>
        </w:rPr>
        <w:t>Contra la decisión del conductor del proceso especial de selección, no cabe la presentación de recurso impugnativo alguno; por lo que una vez otorgada la buena pro, ésta quedará consentida automáticamente, iniciándose el cómputo del plazo para la presentación de los documentos para la suscripción del contrato.</w:t>
      </w:r>
    </w:p>
    <w:p w14:paraId="3BDD99EA" w14:textId="6C297027" w:rsidR="00F85A81" w:rsidRDefault="00F85A81" w:rsidP="00F85A81">
      <w:pPr>
        <w:spacing w:after="0" w:line="240" w:lineRule="auto"/>
        <w:rPr>
          <w:rFonts w:ascii="Times New Roman" w:eastAsia="Times New Roman" w:hAnsi="Times New Roman"/>
          <w:sz w:val="24"/>
          <w:szCs w:val="24"/>
          <w:lang w:eastAsia="es-UY"/>
        </w:rPr>
      </w:pPr>
    </w:p>
    <w:p w14:paraId="0CC0836E" w14:textId="507EBECB" w:rsidR="009B15DD" w:rsidRDefault="009B15DD" w:rsidP="00F85A81">
      <w:pPr>
        <w:spacing w:after="0" w:line="240" w:lineRule="auto"/>
        <w:rPr>
          <w:rFonts w:ascii="Times New Roman" w:eastAsia="Times New Roman" w:hAnsi="Times New Roman"/>
          <w:sz w:val="24"/>
          <w:szCs w:val="24"/>
          <w:lang w:eastAsia="es-UY"/>
        </w:rPr>
      </w:pPr>
    </w:p>
    <w:p w14:paraId="296A558D" w14:textId="77777777" w:rsidR="009B15DD" w:rsidRPr="007B3BBD" w:rsidRDefault="009B15DD" w:rsidP="00F85A81">
      <w:pPr>
        <w:spacing w:after="0" w:line="240" w:lineRule="auto"/>
        <w:rPr>
          <w:rFonts w:ascii="Times New Roman" w:eastAsia="Times New Roman" w:hAnsi="Times New Roman"/>
          <w:sz w:val="24"/>
          <w:szCs w:val="24"/>
          <w:lang w:eastAsia="es-UY"/>
        </w:rPr>
      </w:pPr>
    </w:p>
    <w:p w14:paraId="3F6684CB" w14:textId="77777777" w:rsidR="00F85A81" w:rsidRPr="007B3BBD" w:rsidRDefault="00F85A81" w:rsidP="00F85A81">
      <w:pPr>
        <w:numPr>
          <w:ilvl w:val="0"/>
          <w:numId w:val="13"/>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b/>
          <w:lang w:eastAsia="es-UY"/>
        </w:rPr>
        <w:t>Plazos y requisitos para el perfeccionamiento del contrato</w:t>
      </w:r>
      <w:r w:rsidRPr="007B3BBD">
        <w:rPr>
          <w:rFonts w:ascii="Arial" w:eastAsia="Times New Roman" w:hAnsi="Arial" w:cs="Arial"/>
          <w:lang w:eastAsia="es-UY"/>
        </w:rPr>
        <w:t>:</w:t>
      </w:r>
    </w:p>
    <w:p w14:paraId="5B0130F8"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57C07009" w14:textId="77777777" w:rsidR="00F85A81" w:rsidRPr="007B3BBD" w:rsidRDefault="00F85A81" w:rsidP="00F85A81">
      <w:pPr>
        <w:numPr>
          <w:ilvl w:val="0"/>
          <w:numId w:val="14"/>
        </w:numPr>
        <w:spacing w:after="0" w:line="240" w:lineRule="auto"/>
        <w:ind w:left="1080"/>
        <w:jc w:val="both"/>
        <w:textAlignment w:val="baseline"/>
        <w:rPr>
          <w:rFonts w:ascii="Arial" w:eastAsia="Times New Roman" w:hAnsi="Arial" w:cs="Arial"/>
          <w:lang w:eastAsia="es-UY"/>
        </w:rPr>
      </w:pPr>
      <w:r w:rsidRPr="007B3BBD">
        <w:rPr>
          <w:rFonts w:ascii="Arial" w:eastAsia="Times New Roman" w:hAnsi="Arial" w:cs="Arial"/>
          <w:lang w:eastAsia="es-UY"/>
        </w:rPr>
        <w:t xml:space="preserve">El ganador de la buena pro en un plazo máximo de </w:t>
      </w:r>
      <w:r w:rsidR="007155AF" w:rsidRPr="007B3BBD">
        <w:rPr>
          <w:rFonts w:ascii="Arial" w:eastAsia="Times New Roman" w:hAnsi="Arial" w:cs="Arial"/>
          <w:lang w:eastAsia="es-UY"/>
        </w:rPr>
        <w:t>siete</w:t>
      </w:r>
      <w:r w:rsidRPr="007B3BBD">
        <w:rPr>
          <w:rFonts w:ascii="Arial" w:eastAsia="Times New Roman" w:hAnsi="Arial" w:cs="Arial"/>
          <w:lang w:eastAsia="es-UY"/>
        </w:rPr>
        <w:t xml:space="preserve"> (0</w:t>
      </w:r>
      <w:r w:rsidR="007155AF" w:rsidRPr="007B3BBD">
        <w:rPr>
          <w:rFonts w:ascii="Arial" w:eastAsia="Times New Roman" w:hAnsi="Arial" w:cs="Arial"/>
          <w:lang w:eastAsia="es-UY"/>
        </w:rPr>
        <w:t>7</w:t>
      </w:r>
      <w:r w:rsidRPr="007B3BBD">
        <w:rPr>
          <w:rFonts w:ascii="Arial" w:eastAsia="Times New Roman" w:hAnsi="Arial" w:cs="Arial"/>
          <w:lang w:eastAsia="es-UY"/>
        </w:rPr>
        <w:t xml:space="preserve">) días hábiles, computado desde el día siguiente de </w:t>
      </w:r>
      <w:r w:rsidR="007155AF" w:rsidRPr="007B3BBD">
        <w:rPr>
          <w:rFonts w:ascii="Arial" w:eastAsia="Times New Roman" w:hAnsi="Arial" w:cs="Arial"/>
          <w:lang w:eastAsia="es-UY"/>
        </w:rPr>
        <w:t>consentido el proceso</w:t>
      </w:r>
      <w:r w:rsidRPr="007B3BBD">
        <w:rPr>
          <w:rFonts w:ascii="Arial" w:eastAsia="Times New Roman" w:hAnsi="Arial" w:cs="Arial"/>
          <w:lang w:eastAsia="es-UY"/>
        </w:rPr>
        <w:t xml:space="preserve">, </w:t>
      </w:r>
      <w:r w:rsidR="007155AF" w:rsidRPr="007B3BBD">
        <w:rPr>
          <w:rFonts w:ascii="Arial" w:eastAsia="Times New Roman" w:hAnsi="Arial" w:cs="Arial"/>
          <w:lang w:eastAsia="es-UY"/>
        </w:rPr>
        <w:t>presenta, además de los documentos previstos en las bases, lo siguiente:</w:t>
      </w:r>
    </w:p>
    <w:p w14:paraId="0C96F039" w14:textId="77777777" w:rsidR="007155AF" w:rsidRPr="007B3BBD" w:rsidRDefault="007155AF" w:rsidP="007155AF">
      <w:pPr>
        <w:spacing w:after="0" w:line="240" w:lineRule="auto"/>
        <w:jc w:val="both"/>
        <w:textAlignment w:val="baseline"/>
        <w:rPr>
          <w:rFonts w:ascii="Arial" w:eastAsia="Times New Roman" w:hAnsi="Arial" w:cs="Arial"/>
          <w:lang w:eastAsia="es-UY"/>
        </w:rPr>
      </w:pPr>
    </w:p>
    <w:p w14:paraId="158A8437" w14:textId="77777777" w:rsidR="00F85A81" w:rsidRPr="007B3BBD" w:rsidRDefault="00F85A81"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 xml:space="preserve">Garantía de fiel cumplimiento del contrato (póliza de caución y/o carta fianza, según se haya dispuesto en las bases) </w:t>
      </w:r>
      <w:r w:rsidRPr="007B3BBD">
        <w:rPr>
          <w:rFonts w:ascii="Arial" w:eastAsia="Times New Roman" w:hAnsi="Arial" w:cs="Arial"/>
          <w:u w:val="single"/>
          <w:lang w:eastAsia="es-UY"/>
        </w:rPr>
        <w:t>o solicitud de retención del diez por ciento (10%) en el caso de contratos periódicos</w:t>
      </w:r>
      <w:r w:rsidRPr="007B3BBD">
        <w:rPr>
          <w:rFonts w:ascii="Arial" w:eastAsia="Times New Roman" w:hAnsi="Arial" w:cs="Arial"/>
          <w:lang w:eastAsia="es-UY"/>
        </w:rPr>
        <w:t>, para lo cual resulta aplicable lo dispuesto en el Reglamento de la Ley de Contrataciones del Estado sobre la retención.</w:t>
      </w:r>
      <w:r w:rsidR="00B94210" w:rsidRPr="007B3BBD">
        <w:rPr>
          <w:rFonts w:ascii="Arial" w:eastAsia="Times New Roman" w:hAnsi="Arial" w:cs="Arial"/>
          <w:lang w:eastAsia="es-UY"/>
        </w:rPr>
        <w:t xml:space="preserve"> </w:t>
      </w:r>
    </w:p>
    <w:p w14:paraId="7DFEECB9" w14:textId="77777777" w:rsidR="00F85A81" w:rsidRPr="007B3BBD" w:rsidRDefault="00F85A81"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Contrato de consorcio, con firmas legalizadas ante Notario de cada uno de los integrantes de ser el caso, el cual debe cumplir con las disposiciones previstas en la Directiva correspondiente emitida por el OSCE.</w:t>
      </w:r>
    </w:p>
    <w:p w14:paraId="37CC5EA2" w14:textId="77777777" w:rsidR="00F85A81" w:rsidRPr="007B3BBD" w:rsidRDefault="00F85A81"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Código de cuenta interbancaria (CCI) o, en el caso de proveedores no domiciliados, el número de su cuenta bancaria y la entidad bancaria en el exterior.</w:t>
      </w:r>
    </w:p>
    <w:p w14:paraId="36573635" w14:textId="77777777" w:rsidR="00F85A81" w:rsidRPr="007B3BBD" w:rsidRDefault="00F85A81"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Copia de la vigencia del poder del representante legal de la empresa que acredite que cuenta con facultades para perfeccionar e</w:t>
      </w:r>
      <w:r w:rsidR="00327128" w:rsidRPr="007B3BBD">
        <w:rPr>
          <w:rFonts w:ascii="Arial" w:eastAsia="Times New Roman" w:hAnsi="Arial" w:cs="Arial"/>
          <w:lang w:eastAsia="es-UY"/>
        </w:rPr>
        <w:t>l contrato, cuando corresponda</w:t>
      </w:r>
      <w:r w:rsidR="007155AF" w:rsidRPr="007B3BBD">
        <w:rPr>
          <w:rFonts w:ascii="Arial" w:eastAsia="Times New Roman" w:hAnsi="Arial" w:cs="Arial"/>
          <w:lang w:eastAsia="es-UY"/>
        </w:rPr>
        <w:t>.</w:t>
      </w:r>
    </w:p>
    <w:p w14:paraId="4AC7626D" w14:textId="77777777" w:rsidR="00F85A81" w:rsidRPr="007B3BBD" w:rsidRDefault="00F85A81"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Copia de DNI del postor en caso de persona natural, o de su representante legal en caso de persona jurídica.</w:t>
      </w:r>
    </w:p>
    <w:p w14:paraId="5E17BAE6" w14:textId="77777777" w:rsidR="00F85A81" w:rsidRPr="007B3BBD" w:rsidRDefault="00F85A81"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Domicilio y correo electrónico para efectos de la notificación durante la ejecución del contrato.</w:t>
      </w:r>
    </w:p>
    <w:p w14:paraId="4F69F873" w14:textId="77777777" w:rsidR="00F85A81" w:rsidRPr="007B3BBD" w:rsidRDefault="00327128" w:rsidP="005459A8">
      <w:pPr>
        <w:numPr>
          <w:ilvl w:val="0"/>
          <w:numId w:val="15"/>
        </w:numPr>
        <w:spacing w:after="0" w:line="240" w:lineRule="auto"/>
        <w:ind w:left="1418" w:hanging="284"/>
        <w:jc w:val="both"/>
        <w:textAlignment w:val="baseline"/>
        <w:rPr>
          <w:rFonts w:ascii="Arial" w:eastAsia="Times New Roman" w:hAnsi="Arial" w:cs="Arial"/>
          <w:lang w:eastAsia="es-UY"/>
        </w:rPr>
      </w:pPr>
      <w:r w:rsidRPr="007B3BBD">
        <w:rPr>
          <w:rFonts w:ascii="Arial" w:eastAsia="Times New Roman" w:hAnsi="Arial" w:cs="Arial"/>
          <w:lang w:eastAsia="es-UY"/>
        </w:rPr>
        <w:t>De acuerdo a lo establecido en el requerimiento el postor ganador deberá presentar los documentos que acreditan lo siguiente</w:t>
      </w:r>
      <w:r w:rsidR="00F85A81" w:rsidRPr="007B3BBD">
        <w:rPr>
          <w:rFonts w:ascii="Arial" w:eastAsia="Times New Roman" w:hAnsi="Arial" w:cs="Arial"/>
          <w:lang w:eastAsia="es-UY"/>
        </w:rPr>
        <w:t>: la experiencia del postor y/o del personal clave, formación académica y/o capacitación del personal clave, equipamiento estratégico, infraestructura estratégica y/o requisitos de habilitación para el desarrollo de la actividad, de acuerdo a la normativa especial vincula</w:t>
      </w:r>
      <w:r w:rsidR="007155AF" w:rsidRPr="007B3BBD">
        <w:rPr>
          <w:rFonts w:ascii="Arial" w:eastAsia="Times New Roman" w:hAnsi="Arial" w:cs="Arial"/>
          <w:lang w:eastAsia="es-UY"/>
        </w:rPr>
        <w:t>da al objeto de la contratación, de corresponder.</w:t>
      </w:r>
    </w:p>
    <w:p w14:paraId="2F6D2706" w14:textId="77777777" w:rsidR="00327128" w:rsidRPr="007B3BBD" w:rsidRDefault="006F0BCC" w:rsidP="00F85A81">
      <w:pPr>
        <w:numPr>
          <w:ilvl w:val="0"/>
          <w:numId w:val="15"/>
        </w:numPr>
        <w:spacing w:after="0" w:line="240" w:lineRule="auto"/>
        <w:ind w:left="1560" w:hanging="426"/>
        <w:jc w:val="both"/>
        <w:textAlignment w:val="baseline"/>
        <w:rPr>
          <w:rFonts w:ascii="Arial" w:eastAsia="Times New Roman" w:hAnsi="Arial" w:cs="Arial"/>
          <w:lang w:eastAsia="es-UY"/>
        </w:rPr>
      </w:pPr>
      <w:r w:rsidRPr="007B3BBD">
        <w:rPr>
          <w:rFonts w:ascii="Arial" w:eastAsia="Times New Roman" w:hAnsi="Arial" w:cs="Arial"/>
          <w:lang w:eastAsia="es-UY"/>
        </w:rPr>
        <w:t>Documento que acredite su inscripción en el RE</w:t>
      </w:r>
      <w:r w:rsidR="00DF3D9D" w:rsidRPr="007B3BBD">
        <w:rPr>
          <w:rFonts w:ascii="Arial" w:eastAsia="Times New Roman" w:hAnsi="Arial" w:cs="Arial"/>
          <w:lang w:eastAsia="es-UY"/>
        </w:rPr>
        <w:t xml:space="preserve">MYPE, </w:t>
      </w:r>
      <w:r w:rsidR="00327128" w:rsidRPr="007B3BBD">
        <w:rPr>
          <w:rFonts w:ascii="Arial" w:eastAsia="Times New Roman" w:hAnsi="Arial" w:cs="Arial"/>
          <w:lang w:eastAsia="es-UY"/>
        </w:rPr>
        <w:t xml:space="preserve">de ser el caso. </w:t>
      </w:r>
    </w:p>
    <w:p w14:paraId="097EE374" w14:textId="77777777" w:rsidR="00F85A81" w:rsidRPr="007B3BBD" w:rsidRDefault="00F85A81" w:rsidP="00F85A81">
      <w:pPr>
        <w:numPr>
          <w:ilvl w:val="0"/>
          <w:numId w:val="15"/>
        </w:numPr>
        <w:spacing w:after="0" w:line="240" w:lineRule="auto"/>
        <w:ind w:left="1560" w:hanging="426"/>
        <w:jc w:val="both"/>
        <w:textAlignment w:val="baseline"/>
        <w:rPr>
          <w:rFonts w:ascii="Arial" w:eastAsia="Times New Roman" w:hAnsi="Arial" w:cs="Arial"/>
          <w:lang w:eastAsia="es-UY"/>
        </w:rPr>
      </w:pPr>
      <w:r w:rsidRPr="007B3BBD">
        <w:rPr>
          <w:rFonts w:ascii="Arial" w:eastAsia="Times New Roman" w:hAnsi="Arial" w:cs="Arial"/>
          <w:lang w:eastAsia="es-UY"/>
        </w:rPr>
        <w:t>El detalle de precios unitarios del precio ofertado.</w:t>
      </w:r>
    </w:p>
    <w:p w14:paraId="63E89D8C"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6DF0FDD7" w14:textId="77777777" w:rsidR="00F85A81" w:rsidRPr="007B3BBD" w:rsidRDefault="00F85A81" w:rsidP="00F85A81">
      <w:pPr>
        <w:numPr>
          <w:ilvl w:val="0"/>
          <w:numId w:val="16"/>
        </w:numPr>
        <w:spacing w:after="0" w:line="240" w:lineRule="auto"/>
        <w:ind w:left="1134" w:hanging="426"/>
        <w:jc w:val="both"/>
        <w:textAlignment w:val="baseline"/>
        <w:rPr>
          <w:rFonts w:ascii="Arial" w:eastAsia="Times New Roman" w:hAnsi="Arial" w:cs="Arial"/>
          <w:lang w:eastAsia="es-UY"/>
        </w:rPr>
      </w:pPr>
      <w:r w:rsidRPr="007B3BBD">
        <w:rPr>
          <w:rFonts w:ascii="Arial" w:eastAsia="Times New Roman" w:hAnsi="Arial" w:cs="Arial"/>
          <w:lang w:eastAsia="es-UY"/>
        </w:rPr>
        <w:t>En un plazo no mayor a dos (02) días hábiles, luego de la fecha en que el ganador de la buena pro presente los documentos para la suscripción del contrato, la Entidad deberá verificar la documentación presentada, lo cual estará a cargo del órgano encargado de las contrataciones y del área usuaria y, de ser el caso, notificar a través del correo electrónico las observaciones, otorgándole un plazo para subsanar, el mismo que no debe exceder de dos (02) días hábiles computados a partir del día siguiente de la notificación, o suscribir el contrato.</w:t>
      </w:r>
    </w:p>
    <w:p w14:paraId="51471638" w14:textId="77777777" w:rsidR="00F85A81" w:rsidRPr="007B3BBD" w:rsidRDefault="00F85A81" w:rsidP="00F85A81">
      <w:pPr>
        <w:spacing w:after="0" w:line="240" w:lineRule="auto"/>
        <w:ind w:left="1134" w:hanging="426"/>
        <w:rPr>
          <w:rFonts w:ascii="Times New Roman" w:eastAsia="Times New Roman" w:hAnsi="Times New Roman"/>
          <w:sz w:val="24"/>
          <w:szCs w:val="24"/>
          <w:lang w:eastAsia="es-UY"/>
        </w:rPr>
      </w:pPr>
    </w:p>
    <w:p w14:paraId="2F2C3896" w14:textId="77777777" w:rsidR="00F85A81" w:rsidRPr="007B3BBD" w:rsidRDefault="00B94210" w:rsidP="00F85A81">
      <w:pPr>
        <w:numPr>
          <w:ilvl w:val="0"/>
          <w:numId w:val="17"/>
        </w:numPr>
        <w:spacing w:after="0" w:line="240" w:lineRule="auto"/>
        <w:ind w:left="1134" w:hanging="426"/>
        <w:jc w:val="both"/>
        <w:textAlignment w:val="baseline"/>
        <w:rPr>
          <w:rFonts w:ascii="Arial" w:eastAsia="Times New Roman" w:hAnsi="Arial" w:cs="Arial"/>
          <w:lang w:eastAsia="es-UY"/>
        </w:rPr>
      </w:pPr>
      <w:r w:rsidRPr="007B3BBD">
        <w:rPr>
          <w:rFonts w:ascii="Arial" w:eastAsia="Times New Roman" w:hAnsi="Arial" w:cs="Arial"/>
          <w:lang w:eastAsia="es-UY"/>
        </w:rPr>
        <w:t xml:space="preserve">En caso </w:t>
      </w:r>
      <w:r w:rsidR="00F85A81" w:rsidRPr="007B3BBD">
        <w:rPr>
          <w:rFonts w:ascii="Arial" w:eastAsia="Times New Roman" w:hAnsi="Arial" w:cs="Arial"/>
          <w:lang w:eastAsia="es-UY"/>
        </w:rPr>
        <w:t>de haberse observado la documentación para la suscripción del contrato, la verificación de la subsanación y la suscripción del contrato, en caso corresponda, se efectuará al día siguiente hábil de la presentación de la subsanación.</w:t>
      </w:r>
    </w:p>
    <w:p w14:paraId="4E83AEF4" w14:textId="77777777" w:rsidR="00F85A81" w:rsidRPr="007B3BBD" w:rsidRDefault="00F85A81" w:rsidP="00F85A81">
      <w:pPr>
        <w:spacing w:after="0" w:line="240" w:lineRule="auto"/>
        <w:ind w:left="1134" w:hanging="426"/>
        <w:rPr>
          <w:rFonts w:ascii="Times New Roman" w:eastAsia="Times New Roman" w:hAnsi="Times New Roman"/>
          <w:sz w:val="24"/>
          <w:szCs w:val="24"/>
          <w:lang w:eastAsia="es-UY"/>
        </w:rPr>
      </w:pPr>
    </w:p>
    <w:p w14:paraId="2CDBA607" w14:textId="77777777" w:rsidR="00F85A81" w:rsidRPr="007B3BBD" w:rsidRDefault="00F85A81" w:rsidP="00F85A81">
      <w:pPr>
        <w:numPr>
          <w:ilvl w:val="0"/>
          <w:numId w:val="18"/>
        </w:numPr>
        <w:spacing w:after="0" w:line="240" w:lineRule="auto"/>
        <w:ind w:left="1134" w:hanging="426"/>
        <w:jc w:val="both"/>
        <w:textAlignment w:val="baseline"/>
        <w:rPr>
          <w:rFonts w:ascii="Arial" w:eastAsia="Times New Roman" w:hAnsi="Arial" w:cs="Arial"/>
          <w:lang w:eastAsia="es-UY"/>
        </w:rPr>
      </w:pPr>
      <w:r w:rsidRPr="007B3BBD">
        <w:rPr>
          <w:rFonts w:ascii="Arial" w:eastAsia="Times New Roman" w:hAnsi="Arial" w:cs="Arial"/>
          <w:lang w:eastAsia="es-UY"/>
        </w:rPr>
        <w:t xml:space="preserve">En caso el postor ganador de la buena pro no suscriba el contrato, se notificará en el SEACE la pérdida de la buena pro y se adjudicará la misma al postor que ocupó el siguiente puesto en el orden de prelación, debiendo procederse de la misma manera en caso éste último no llegue a suscribir </w:t>
      </w:r>
      <w:r w:rsidRPr="007B3BBD">
        <w:rPr>
          <w:rFonts w:ascii="Arial" w:eastAsia="Times New Roman" w:hAnsi="Arial" w:cs="Arial"/>
          <w:lang w:eastAsia="es-UY"/>
        </w:rPr>
        <w:lastRenderedPageBreak/>
        <w:t>contrato. Los plazos, requisitos y procedimientos serán los mismos detallados para el postor ganador de la buena pro.</w:t>
      </w:r>
    </w:p>
    <w:p w14:paraId="017D16CA" w14:textId="77777777" w:rsidR="008A7F7D" w:rsidRPr="007B3BBD" w:rsidRDefault="008A7F7D" w:rsidP="00F85A81">
      <w:pPr>
        <w:spacing w:after="0" w:line="240" w:lineRule="auto"/>
        <w:ind w:left="360"/>
        <w:jc w:val="both"/>
        <w:rPr>
          <w:rFonts w:ascii="Arial" w:eastAsia="Times New Roman" w:hAnsi="Arial" w:cs="Arial"/>
          <w:b/>
          <w:sz w:val="24"/>
          <w:szCs w:val="24"/>
          <w:u w:val="single"/>
          <w:lang w:eastAsia="es-UY"/>
        </w:rPr>
      </w:pPr>
    </w:p>
    <w:p w14:paraId="36DFF85C" w14:textId="77777777" w:rsidR="00F85A81" w:rsidRPr="007B3BBD" w:rsidRDefault="00F85A81" w:rsidP="00F85A81">
      <w:pPr>
        <w:spacing w:after="0" w:line="240" w:lineRule="auto"/>
        <w:ind w:left="360"/>
        <w:jc w:val="both"/>
        <w:rPr>
          <w:rFonts w:ascii="Arial" w:eastAsia="Times New Roman" w:hAnsi="Arial" w:cs="Arial"/>
          <w:lang w:eastAsia="es-UY"/>
        </w:rPr>
      </w:pPr>
      <w:r w:rsidRPr="007B3BBD">
        <w:rPr>
          <w:rFonts w:ascii="Arial" w:eastAsia="Times New Roman" w:hAnsi="Arial" w:cs="Arial"/>
          <w:b/>
          <w:sz w:val="24"/>
          <w:szCs w:val="24"/>
          <w:u w:val="single"/>
          <w:lang w:eastAsia="es-UY"/>
        </w:rPr>
        <w:t>Disposiciones adicionales:</w:t>
      </w:r>
    </w:p>
    <w:p w14:paraId="4947A502" w14:textId="77777777" w:rsidR="00F85A81" w:rsidRPr="007B3BBD" w:rsidRDefault="00F85A81" w:rsidP="00F85A81">
      <w:pPr>
        <w:spacing w:after="0" w:line="240" w:lineRule="auto"/>
        <w:rPr>
          <w:rFonts w:ascii="Times New Roman" w:eastAsia="Times New Roman" w:hAnsi="Times New Roman"/>
          <w:sz w:val="24"/>
          <w:szCs w:val="24"/>
          <w:lang w:eastAsia="es-UY"/>
        </w:rPr>
      </w:pPr>
    </w:p>
    <w:p w14:paraId="5C921CE2" w14:textId="77777777" w:rsidR="00E05B1D" w:rsidRPr="007B3BBD" w:rsidRDefault="00E05B1D" w:rsidP="005459A8">
      <w:pPr>
        <w:numPr>
          <w:ilvl w:val="0"/>
          <w:numId w:val="20"/>
        </w:numPr>
        <w:spacing w:after="0" w:line="240" w:lineRule="auto"/>
        <w:jc w:val="both"/>
        <w:textAlignment w:val="baseline"/>
        <w:rPr>
          <w:rFonts w:ascii="Arial" w:eastAsia="Times New Roman" w:hAnsi="Arial" w:cs="Arial"/>
          <w:lang w:eastAsia="es-UY"/>
        </w:rPr>
      </w:pPr>
      <w:r w:rsidRPr="007B3BBD">
        <w:rPr>
          <w:rFonts w:ascii="Arial" w:eastAsia="Times New Roman" w:hAnsi="Arial" w:cs="Arial"/>
          <w:lang w:eastAsia="es-UY"/>
        </w:rPr>
        <w:t>En todo lo no previsto por el presente procedimiento resulta de aplicación las disposiciones del Texto Único Ordenado de la Ley N° 30225, Ley de Contrataciones del Estado, aprobado mediante Decreto Supremo N° 082-2019-EF y su Reglamento, aprobado mediante Decreto Supremo N° 344-2018-EF.</w:t>
      </w:r>
    </w:p>
    <w:p w14:paraId="6C6AFE2A" w14:textId="77777777" w:rsidR="009B7390" w:rsidRPr="00EE6119" w:rsidRDefault="009B7390">
      <w:pPr>
        <w:rPr>
          <w:rFonts w:ascii="Arial" w:hAnsi="Arial" w:cs="Arial"/>
        </w:rPr>
      </w:pPr>
    </w:p>
    <w:p w14:paraId="5FA578F5" w14:textId="77777777" w:rsidR="00C8680D" w:rsidRPr="00EE6119" w:rsidRDefault="00C8680D" w:rsidP="006C1E22">
      <w:pPr>
        <w:spacing w:after="0" w:line="240" w:lineRule="auto"/>
        <w:jc w:val="both"/>
        <w:rPr>
          <w:rFonts w:ascii="Arial" w:hAnsi="Arial" w:cs="Arial"/>
        </w:rPr>
      </w:pPr>
    </w:p>
    <w:p w14:paraId="6A1E37D4" w14:textId="77777777" w:rsidR="00C8680D" w:rsidRPr="00EE6119" w:rsidRDefault="00C8680D" w:rsidP="00F22604">
      <w:pPr>
        <w:shd w:val="clear" w:color="auto" w:fill="FFFFFF"/>
        <w:spacing w:after="0" w:line="240" w:lineRule="auto"/>
        <w:jc w:val="center"/>
        <w:rPr>
          <w:rFonts w:ascii="Arial" w:hAnsi="Arial" w:cs="Arial"/>
        </w:rPr>
      </w:pPr>
    </w:p>
    <w:sectPr w:rsidR="00C8680D" w:rsidRPr="00EE6119" w:rsidSect="00D357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5E6"/>
    <w:multiLevelType w:val="multilevel"/>
    <w:tmpl w:val="4678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37B12"/>
    <w:multiLevelType w:val="multilevel"/>
    <w:tmpl w:val="8B6C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367A"/>
    <w:multiLevelType w:val="multilevel"/>
    <w:tmpl w:val="372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D1B1A"/>
    <w:multiLevelType w:val="multilevel"/>
    <w:tmpl w:val="D49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F5ACC"/>
    <w:multiLevelType w:val="multilevel"/>
    <w:tmpl w:val="A0EE66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74F07"/>
    <w:multiLevelType w:val="multilevel"/>
    <w:tmpl w:val="EE4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56EF1"/>
    <w:multiLevelType w:val="multilevel"/>
    <w:tmpl w:val="B06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7680C"/>
    <w:multiLevelType w:val="multilevel"/>
    <w:tmpl w:val="B4A25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E14BD"/>
    <w:multiLevelType w:val="multilevel"/>
    <w:tmpl w:val="742AE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A394C"/>
    <w:multiLevelType w:val="multilevel"/>
    <w:tmpl w:val="B358D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51531"/>
    <w:multiLevelType w:val="multilevel"/>
    <w:tmpl w:val="5396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60413"/>
    <w:multiLevelType w:val="multilevel"/>
    <w:tmpl w:val="F2B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9035C"/>
    <w:multiLevelType w:val="multilevel"/>
    <w:tmpl w:val="12C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A7D65"/>
    <w:multiLevelType w:val="multilevel"/>
    <w:tmpl w:val="B5340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84727"/>
    <w:multiLevelType w:val="multilevel"/>
    <w:tmpl w:val="A77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831E3"/>
    <w:multiLevelType w:val="multilevel"/>
    <w:tmpl w:val="17E2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16043"/>
    <w:multiLevelType w:val="multilevel"/>
    <w:tmpl w:val="F3E6458C"/>
    <w:lvl w:ilvl="0">
      <w:start w:val="5"/>
      <w:numFmt w:val="decimal"/>
      <w:lvlText w:val="%1"/>
      <w:lvlJc w:val="left"/>
      <w:pPr>
        <w:ind w:left="107" w:hanging="355"/>
      </w:pPr>
      <w:rPr>
        <w:rFonts w:hint="default"/>
        <w:lang w:val="es-ES" w:eastAsia="en-US" w:bidi="ar-SA"/>
      </w:rPr>
    </w:lvl>
    <w:lvl w:ilvl="1">
      <w:start w:val="2"/>
      <w:numFmt w:val="decimal"/>
      <w:lvlText w:val="%1.%2"/>
      <w:lvlJc w:val="left"/>
      <w:pPr>
        <w:ind w:left="107" w:hanging="355"/>
      </w:pPr>
      <w:rPr>
        <w:rFonts w:ascii="Arial" w:eastAsia="Arial" w:hAnsi="Arial" w:cs="Arial" w:hint="default"/>
        <w:color w:val="221F1F"/>
        <w:spacing w:val="-1"/>
        <w:w w:val="100"/>
        <w:sz w:val="16"/>
        <w:szCs w:val="16"/>
        <w:lang w:val="es-ES" w:eastAsia="en-US" w:bidi="ar-SA"/>
      </w:rPr>
    </w:lvl>
    <w:lvl w:ilvl="2">
      <w:numFmt w:val="bullet"/>
      <w:lvlText w:val="•"/>
      <w:lvlJc w:val="left"/>
      <w:pPr>
        <w:ind w:left="925" w:hanging="355"/>
      </w:pPr>
      <w:rPr>
        <w:rFonts w:hint="default"/>
        <w:lang w:val="es-ES" w:eastAsia="en-US" w:bidi="ar-SA"/>
      </w:rPr>
    </w:lvl>
    <w:lvl w:ilvl="3">
      <w:numFmt w:val="bullet"/>
      <w:lvlText w:val="•"/>
      <w:lvlJc w:val="left"/>
      <w:pPr>
        <w:ind w:left="1338" w:hanging="355"/>
      </w:pPr>
      <w:rPr>
        <w:rFonts w:hint="default"/>
        <w:lang w:val="es-ES" w:eastAsia="en-US" w:bidi="ar-SA"/>
      </w:rPr>
    </w:lvl>
    <w:lvl w:ilvl="4">
      <w:numFmt w:val="bullet"/>
      <w:lvlText w:val="•"/>
      <w:lvlJc w:val="left"/>
      <w:pPr>
        <w:ind w:left="1751" w:hanging="355"/>
      </w:pPr>
      <w:rPr>
        <w:rFonts w:hint="default"/>
        <w:lang w:val="es-ES" w:eastAsia="en-US" w:bidi="ar-SA"/>
      </w:rPr>
    </w:lvl>
    <w:lvl w:ilvl="5">
      <w:numFmt w:val="bullet"/>
      <w:lvlText w:val="•"/>
      <w:lvlJc w:val="left"/>
      <w:pPr>
        <w:ind w:left="2164" w:hanging="355"/>
      </w:pPr>
      <w:rPr>
        <w:rFonts w:hint="default"/>
        <w:lang w:val="es-ES" w:eastAsia="en-US" w:bidi="ar-SA"/>
      </w:rPr>
    </w:lvl>
    <w:lvl w:ilvl="6">
      <w:numFmt w:val="bullet"/>
      <w:lvlText w:val="•"/>
      <w:lvlJc w:val="left"/>
      <w:pPr>
        <w:ind w:left="2577" w:hanging="355"/>
      </w:pPr>
      <w:rPr>
        <w:rFonts w:hint="default"/>
        <w:lang w:val="es-ES" w:eastAsia="en-US" w:bidi="ar-SA"/>
      </w:rPr>
    </w:lvl>
    <w:lvl w:ilvl="7">
      <w:numFmt w:val="bullet"/>
      <w:lvlText w:val="•"/>
      <w:lvlJc w:val="left"/>
      <w:pPr>
        <w:ind w:left="2990" w:hanging="355"/>
      </w:pPr>
      <w:rPr>
        <w:rFonts w:hint="default"/>
        <w:lang w:val="es-ES" w:eastAsia="en-US" w:bidi="ar-SA"/>
      </w:rPr>
    </w:lvl>
    <w:lvl w:ilvl="8">
      <w:numFmt w:val="bullet"/>
      <w:lvlText w:val="•"/>
      <w:lvlJc w:val="left"/>
      <w:pPr>
        <w:ind w:left="3403" w:hanging="355"/>
      </w:pPr>
      <w:rPr>
        <w:rFonts w:hint="default"/>
        <w:lang w:val="es-ES" w:eastAsia="en-US" w:bidi="ar-SA"/>
      </w:rPr>
    </w:lvl>
  </w:abstractNum>
  <w:abstractNum w:abstractNumId="17" w15:restartNumberingAfterBreak="0">
    <w:nsid w:val="4BBD66E4"/>
    <w:multiLevelType w:val="multilevel"/>
    <w:tmpl w:val="239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E04C9"/>
    <w:multiLevelType w:val="multilevel"/>
    <w:tmpl w:val="9FFE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257A2A"/>
    <w:multiLevelType w:val="hybridMultilevel"/>
    <w:tmpl w:val="DC8EE65E"/>
    <w:lvl w:ilvl="0" w:tplc="23ACF11E">
      <w:start w:val="1"/>
      <w:numFmt w:val="decimal"/>
      <w:lvlText w:val="%1"/>
      <w:lvlJc w:val="left"/>
      <w:pPr>
        <w:ind w:left="250" w:hanging="144"/>
      </w:pPr>
      <w:rPr>
        <w:rFonts w:hint="default"/>
        <w:w w:val="100"/>
        <w:lang w:val="es-ES" w:eastAsia="en-US" w:bidi="ar-SA"/>
      </w:rPr>
    </w:lvl>
    <w:lvl w:ilvl="1" w:tplc="CDFE3454">
      <w:numFmt w:val="bullet"/>
      <w:lvlText w:val="•"/>
      <w:lvlJc w:val="left"/>
      <w:pPr>
        <w:ind w:left="480" w:hanging="144"/>
      </w:pPr>
      <w:rPr>
        <w:rFonts w:hint="default"/>
        <w:lang w:val="es-ES" w:eastAsia="en-US" w:bidi="ar-SA"/>
      </w:rPr>
    </w:lvl>
    <w:lvl w:ilvl="2" w:tplc="D6C6F4C4">
      <w:numFmt w:val="bullet"/>
      <w:lvlText w:val="•"/>
      <w:lvlJc w:val="left"/>
      <w:pPr>
        <w:ind w:left="95" w:hanging="144"/>
      </w:pPr>
      <w:rPr>
        <w:rFonts w:hint="default"/>
        <w:lang w:val="es-ES" w:eastAsia="en-US" w:bidi="ar-SA"/>
      </w:rPr>
    </w:lvl>
    <w:lvl w:ilvl="3" w:tplc="8B6E73D6">
      <w:numFmt w:val="bullet"/>
      <w:lvlText w:val="•"/>
      <w:lvlJc w:val="left"/>
      <w:pPr>
        <w:ind w:left="-290" w:hanging="144"/>
      </w:pPr>
      <w:rPr>
        <w:rFonts w:hint="default"/>
        <w:lang w:val="es-ES" w:eastAsia="en-US" w:bidi="ar-SA"/>
      </w:rPr>
    </w:lvl>
    <w:lvl w:ilvl="4" w:tplc="6AC44E00">
      <w:numFmt w:val="bullet"/>
      <w:lvlText w:val="•"/>
      <w:lvlJc w:val="left"/>
      <w:pPr>
        <w:ind w:left="-675" w:hanging="144"/>
      </w:pPr>
      <w:rPr>
        <w:rFonts w:hint="default"/>
        <w:lang w:val="es-ES" w:eastAsia="en-US" w:bidi="ar-SA"/>
      </w:rPr>
    </w:lvl>
    <w:lvl w:ilvl="5" w:tplc="E7E28D80">
      <w:numFmt w:val="bullet"/>
      <w:lvlText w:val="•"/>
      <w:lvlJc w:val="left"/>
      <w:pPr>
        <w:ind w:left="-1060" w:hanging="144"/>
      </w:pPr>
      <w:rPr>
        <w:rFonts w:hint="default"/>
        <w:lang w:val="es-ES" w:eastAsia="en-US" w:bidi="ar-SA"/>
      </w:rPr>
    </w:lvl>
    <w:lvl w:ilvl="6" w:tplc="EDAC7806">
      <w:numFmt w:val="bullet"/>
      <w:lvlText w:val="•"/>
      <w:lvlJc w:val="left"/>
      <w:pPr>
        <w:ind w:left="-1445" w:hanging="144"/>
      </w:pPr>
      <w:rPr>
        <w:rFonts w:hint="default"/>
        <w:lang w:val="es-ES" w:eastAsia="en-US" w:bidi="ar-SA"/>
      </w:rPr>
    </w:lvl>
    <w:lvl w:ilvl="7" w:tplc="FB0A4CB0">
      <w:numFmt w:val="bullet"/>
      <w:lvlText w:val="•"/>
      <w:lvlJc w:val="left"/>
      <w:pPr>
        <w:ind w:left="-1830" w:hanging="144"/>
      </w:pPr>
      <w:rPr>
        <w:rFonts w:hint="default"/>
        <w:lang w:val="es-ES" w:eastAsia="en-US" w:bidi="ar-SA"/>
      </w:rPr>
    </w:lvl>
    <w:lvl w:ilvl="8" w:tplc="79C019A2">
      <w:numFmt w:val="bullet"/>
      <w:lvlText w:val="•"/>
      <w:lvlJc w:val="left"/>
      <w:pPr>
        <w:ind w:left="-2215" w:hanging="144"/>
      </w:pPr>
      <w:rPr>
        <w:rFonts w:hint="default"/>
        <w:lang w:val="es-ES" w:eastAsia="en-US" w:bidi="ar-SA"/>
      </w:rPr>
    </w:lvl>
  </w:abstractNum>
  <w:abstractNum w:abstractNumId="20" w15:restartNumberingAfterBreak="0">
    <w:nsid w:val="6D9F3BC5"/>
    <w:multiLevelType w:val="multilevel"/>
    <w:tmpl w:val="6834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4"/>
  </w:num>
  <w:num w:numId="4">
    <w:abstractNumId w:val="17"/>
  </w:num>
  <w:num w:numId="5">
    <w:abstractNumId w:val="15"/>
  </w:num>
  <w:num w:numId="6">
    <w:abstractNumId w:val="3"/>
  </w:num>
  <w:num w:numId="7">
    <w:abstractNumId w:val="10"/>
  </w:num>
  <w:num w:numId="8">
    <w:abstractNumId w:val="0"/>
  </w:num>
  <w:num w:numId="9">
    <w:abstractNumId w:val="8"/>
  </w:num>
  <w:num w:numId="10">
    <w:abstractNumId w:val="6"/>
  </w:num>
  <w:num w:numId="11">
    <w:abstractNumId w:val="5"/>
  </w:num>
  <w:num w:numId="12">
    <w:abstractNumId w:val="7"/>
    <w:lvlOverride w:ilvl="0">
      <w:lvl w:ilvl="0">
        <w:numFmt w:val="decimal"/>
        <w:lvlText w:val="%1."/>
        <w:lvlJc w:val="left"/>
      </w:lvl>
    </w:lvlOverride>
  </w:num>
  <w:num w:numId="13">
    <w:abstractNumId w:val="11"/>
  </w:num>
  <w:num w:numId="14">
    <w:abstractNumId w:val="1"/>
  </w:num>
  <w:num w:numId="15">
    <w:abstractNumId w:val="20"/>
    <w:lvlOverride w:ilvl="0">
      <w:lvl w:ilvl="0">
        <w:numFmt w:val="lowerLetter"/>
        <w:lvlText w:val="%1."/>
        <w:lvlJc w:val="left"/>
      </w:lvl>
    </w:lvlOverride>
  </w:num>
  <w:num w:numId="16">
    <w:abstractNumId w:val="13"/>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B6"/>
    <w:rsid w:val="000066B9"/>
    <w:rsid w:val="00017E1B"/>
    <w:rsid w:val="00056C9C"/>
    <w:rsid w:val="000B32FA"/>
    <w:rsid w:val="000C1829"/>
    <w:rsid w:val="000D388B"/>
    <w:rsid w:val="000F5556"/>
    <w:rsid w:val="00143425"/>
    <w:rsid w:val="00153F5C"/>
    <w:rsid w:val="0016299D"/>
    <w:rsid w:val="001B4A4F"/>
    <w:rsid w:val="001C6CFF"/>
    <w:rsid w:val="001E051C"/>
    <w:rsid w:val="001E52D4"/>
    <w:rsid w:val="002255F2"/>
    <w:rsid w:val="002427C5"/>
    <w:rsid w:val="002805CB"/>
    <w:rsid w:val="002A3D51"/>
    <w:rsid w:val="002A48DF"/>
    <w:rsid w:val="003012C8"/>
    <w:rsid w:val="00312EE5"/>
    <w:rsid w:val="00327128"/>
    <w:rsid w:val="00335BB3"/>
    <w:rsid w:val="00345B95"/>
    <w:rsid w:val="00346638"/>
    <w:rsid w:val="00371AE1"/>
    <w:rsid w:val="0041442F"/>
    <w:rsid w:val="00422A02"/>
    <w:rsid w:val="00427728"/>
    <w:rsid w:val="00460242"/>
    <w:rsid w:val="004B19F2"/>
    <w:rsid w:val="004B6CA0"/>
    <w:rsid w:val="004E11A2"/>
    <w:rsid w:val="00507227"/>
    <w:rsid w:val="0052501F"/>
    <w:rsid w:val="00526BFA"/>
    <w:rsid w:val="00544566"/>
    <w:rsid w:val="005459A8"/>
    <w:rsid w:val="00581F0D"/>
    <w:rsid w:val="005C5315"/>
    <w:rsid w:val="005C5F4D"/>
    <w:rsid w:val="005D4DE9"/>
    <w:rsid w:val="00617658"/>
    <w:rsid w:val="006C1E22"/>
    <w:rsid w:val="006F0BCC"/>
    <w:rsid w:val="007003C0"/>
    <w:rsid w:val="00701310"/>
    <w:rsid w:val="007077E6"/>
    <w:rsid w:val="007155AF"/>
    <w:rsid w:val="0072594F"/>
    <w:rsid w:val="0072646F"/>
    <w:rsid w:val="007816BF"/>
    <w:rsid w:val="007A25AA"/>
    <w:rsid w:val="007B3BBD"/>
    <w:rsid w:val="007D523D"/>
    <w:rsid w:val="007D5C93"/>
    <w:rsid w:val="007E3B74"/>
    <w:rsid w:val="008361C4"/>
    <w:rsid w:val="0086020D"/>
    <w:rsid w:val="008822FE"/>
    <w:rsid w:val="008A6341"/>
    <w:rsid w:val="008A7F7D"/>
    <w:rsid w:val="008B1AC6"/>
    <w:rsid w:val="008B3E16"/>
    <w:rsid w:val="008D371E"/>
    <w:rsid w:val="008F1AEE"/>
    <w:rsid w:val="00921C64"/>
    <w:rsid w:val="00927B23"/>
    <w:rsid w:val="00937ECC"/>
    <w:rsid w:val="009806B7"/>
    <w:rsid w:val="009B15DD"/>
    <w:rsid w:val="009B4FA6"/>
    <w:rsid w:val="009B7390"/>
    <w:rsid w:val="009C1B27"/>
    <w:rsid w:val="009F0857"/>
    <w:rsid w:val="00A01EE6"/>
    <w:rsid w:val="00A04A77"/>
    <w:rsid w:val="00A21B46"/>
    <w:rsid w:val="00AB178A"/>
    <w:rsid w:val="00AF4E6C"/>
    <w:rsid w:val="00B321CE"/>
    <w:rsid w:val="00B36099"/>
    <w:rsid w:val="00B364C4"/>
    <w:rsid w:val="00B43C63"/>
    <w:rsid w:val="00B44A24"/>
    <w:rsid w:val="00B654C0"/>
    <w:rsid w:val="00B76357"/>
    <w:rsid w:val="00B929F7"/>
    <w:rsid w:val="00B94210"/>
    <w:rsid w:val="00BA6E32"/>
    <w:rsid w:val="00BC3A2F"/>
    <w:rsid w:val="00C40469"/>
    <w:rsid w:val="00C41590"/>
    <w:rsid w:val="00C610C8"/>
    <w:rsid w:val="00C66409"/>
    <w:rsid w:val="00C8680D"/>
    <w:rsid w:val="00CA2916"/>
    <w:rsid w:val="00CB2A44"/>
    <w:rsid w:val="00CE10D7"/>
    <w:rsid w:val="00CF19EE"/>
    <w:rsid w:val="00D0595D"/>
    <w:rsid w:val="00D35721"/>
    <w:rsid w:val="00D43EC5"/>
    <w:rsid w:val="00D44526"/>
    <w:rsid w:val="00D93E5C"/>
    <w:rsid w:val="00DC1B2C"/>
    <w:rsid w:val="00DF3D9D"/>
    <w:rsid w:val="00E05B1D"/>
    <w:rsid w:val="00E27B3A"/>
    <w:rsid w:val="00E30035"/>
    <w:rsid w:val="00E6114F"/>
    <w:rsid w:val="00E74F36"/>
    <w:rsid w:val="00E82B57"/>
    <w:rsid w:val="00E95ACD"/>
    <w:rsid w:val="00EA6DAE"/>
    <w:rsid w:val="00EB320C"/>
    <w:rsid w:val="00EB5BA9"/>
    <w:rsid w:val="00EE32C5"/>
    <w:rsid w:val="00EE4050"/>
    <w:rsid w:val="00EE5E70"/>
    <w:rsid w:val="00EE6119"/>
    <w:rsid w:val="00F06ECF"/>
    <w:rsid w:val="00F07AEA"/>
    <w:rsid w:val="00F22604"/>
    <w:rsid w:val="00F25AD0"/>
    <w:rsid w:val="00F3157E"/>
    <w:rsid w:val="00F315B6"/>
    <w:rsid w:val="00F42693"/>
    <w:rsid w:val="00F83D44"/>
    <w:rsid w:val="00F85A81"/>
    <w:rsid w:val="00F9080D"/>
    <w:rsid w:val="00F9289D"/>
    <w:rsid w:val="00FD6C00"/>
    <w:rsid w:val="00FF1BD2"/>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D09A"/>
  <w15:docId w15:val="{5C4FA473-C3FB-4C92-B350-274B07AA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21"/>
    <w:pPr>
      <w:spacing w:after="160" w:line="259" w:lineRule="auto"/>
    </w:pPr>
    <w:rPr>
      <w:sz w:val="22"/>
      <w:szCs w:val="22"/>
      <w:lang w:eastAsia="en-US"/>
    </w:rPr>
  </w:style>
  <w:style w:type="paragraph" w:styleId="Ttulo2">
    <w:name w:val="heading 2"/>
    <w:basedOn w:val="Normal"/>
    <w:next w:val="Normal"/>
    <w:link w:val="Ttulo2Car"/>
    <w:uiPriority w:val="9"/>
    <w:semiHidden/>
    <w:unhideWhenUsed/>
    <w:qFormat/>
    <w:rsid w:val="00C8680D"/>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3C63"/>
    <w:pPr>
      <w:widowControl w:val="0"/>
      <w:autoSpaceDE w:val="0"/>
      <w:autoSpaceDN w:val="0"/>
      <w:spacing w:after="0" w:line="240" w:lineRule="auto"/>
    </w:pPr>
    <w:rPr>
      <w:rFonts w:ascii="Arial" w:eastAsia="Arial" w:hAnsi="Arial" w:cs="Arial"/>
      <w:sz w:val="16"/>
      <w:szCs w:val="16"/>
      <w:lang w:val="es-ES"/>
    </w:rPr>
  </w:style>
  <w:style w:type="character" w:customStyle="1" w:styleId="TextoindependienteCar">
    <w:name w:val="Texto independiente Car"/>
    <w:link w:val="Textoindependiente"/>
    <w:uiPriority w:val="1"/>
    <w:rsid w:val="00B43C63"/>
    <w:rPr>
      <w:rFonts w:ascii="Arial" w:eastAsia="Arial" w:hAnsi="Arial" w:cs="Arial"/>
      <w:sz w:val="16"/>
      <w:szCs w:val="16"/>
      <w:lang w:val="es-ES"/>
    </w:rPr>
  </w:style>
  <w:style w:type="paragraph" w:styleId="Prrafodelista">
    <w:name w:val="List Paragraph"/>
    <w:basedOn w:val="Normal"/>
    <w:link w:val="PrrafodelistaCar"/>
    <w:uiPriority w:val="34"/>
    <w:qFormat/>
    <w:rsid w:val="00B43C63"/>
    <w:pPr>
      <w:widowControl w:val="0"/>
      <w:autoSpaceDE w:val="0"/>
      <w:autoSpaceDN w:val="0"/>
      <w:spacing w:before="6" w:after="0" w:line="240" w:lineRule="auto"/>
      <w:ind w:left="248" w:right="38" w:firstLine="255"/>
      <w:jc w:val="both"/>
    </w:pPr>
    <w:rPr>
      <w:rFonts w:ascii="Arial" w:eastAsia="Arial" w:hAnsi="Arial" w:cs="Arial"/>
      <w:lang w:val="es-ES"/>
    </w:rPr>
  </w:style>
  <w:style w:type="paragraph" w:customStyle="1" w:styleId="cuerpo">
    <w:name w:val="cuerpo"/>
    <w:basedOn w:val="Normal"/>
    <w:rsid w:val="00E27B3A"/>
    <w:pPr>
      <w:spacing w:before="100" w:beforeAutospacing="1" w:after="100" w:afterAutospacing="1" w:line="240" w:lineRule="auto"/>
    </w:pPr>
    <w:rPr>
      <w:rFonts w:ascii="Times New Roman" w:eastAsia="Times New Roman" w:hAnsi="Times New Roman"/>
      <w:sz w:val="24"/>
      <w:szCs w:val="24"/>
      <w:lang w:eastAsia="es-PE"/>
    </w:rPr>
  </w:style>
  <w:style w:type="paragraph" w:styleId="NormalWeb">
    <w:name w:val="Normal (Web)"/>
    <w:basedOn w:val="Normal"/>
    <w:uiPriority w:val="99"/>
    <w:unhideWhenUsed/>
    <w:rsid w:val="00B321CE"/>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2Car">
    <w:name w:val="Título 2 Car"/>
    <w:link w:val="Ttulo2"/>
    <w:uiPriority w:val="9"/>
    <w:semiHidden/>
    <w:rsid w:val="00C8680D"/>
    <w:rPr>
      <w:rFonts w:ascii="Calibri Light" w:eastAsia="Times New Roman" w:hAnsi="Calibri Light" w:cs="Times New Roman"/>
      <w:color w:val="2E74B5"/>
      <w:sz w:val="26"/>
      <w:szCs w:val="26"/>
    </w:rPr>
  </w:style>
  <w:style w:type="character" w:customStyle="1" w:styleId="no-style-override-1">
    <w:name w:val="no-style-override-1"/>
    <w:basedOn w:val="Fuentedeprrafopredeter"/>
    <w:rsid w:val="00C8680D"/>
  </w:style>
  <w:style w:type="character" w:styleId="Refdecomentario">
    <w:name w:val="annotation reference"/>
    <w:uiPriority w:val="99"/>
    <w:semiHidden/>
    <w:unhideWhenUsed/>
    <w:rsid w:val="004B19F2"/>
    <w:rPr>
      <w:sz w:val="16"/>
      <w:szCs w:val="16"/>
    </w:rPr>
  </w:style>
  <w:style w:type="paragraph" w:styleId="Textocomentario">
    <w:name w:val="annotation text"/>
    <w:basedOn w:val="Normal"/>
    <w:link w:val="TextocomentarioCar"/>
    <w:uiPriority w:val="99"/>
    <w:semiHidden/>
    <w:unhideWhenUsed/>
    <w:rsid w:val="004B19F2"/>
    <w:pPr>
      <w:spacing w:line="240" w:lineRule="auto"/>
    </w:pPr>
    <w:rPr>
      <w:sz w:val="20"/>
      <w:szCs w:val="20"/>
    </w:rPr>
  </w:style>
  <w:style w:type="character" w:customStyle="1" w:styleId="TextocomentarioCar">
    <w:name w:val="Texto comentario Car"/>
    <w:link w:val="Textocomentario"/>
    <w:uiPriority w:val="99"/>
    <w:semiHidden/>
    <w:rsid w:val="004B19F2"/>
    <w:rPr>
      <w:sz w:val="20"/>
      <w:szCs w:val="20"/>
    </w:rPr>
  </w:style>
  <w:style w:type="paragraph" w:styleId="Asuntodelcomentario">
    <w:name w:val="annotation subject"/>
    <w:basedOn w:val="Textocomentario"/>
    <w:next w:val="Textocomentario"/>
    <w:link w:val="AsuntodelcomentarioCar"/>
    <w:uiPriority w:val="99"/>
    <w:semiHidden/>
    <w:unhideWhenUsed/>
    <w:rsid w:val="004B19F2"/>
    <w:rPr>
      <w:b/>
      <w:bCs/>
    </w:rPr>
  </w:style>
  <w:style w:type="character" w:customStyle="1" w:styleId="AsuntodelcomentarioCar">
    <w:name w:val="Asunto del comentario Car"/>
    <w:link w:val="Asuntodelcomentario"/>
    <w:uiPriority w:val="99"/>
    <w:semiHidden/>
    <w:rsid w:val="004B19F2"/>
    <w:rPr>
      <w:b/>
      <w:bCs/>
      <w:sz w:val="20"/>
      <w:szCs w:val="20"/>
    </w:rPr>
  </w:style>
  <w:style w:type="paragraph" w:styleId="Textodeglobo">
    <w:name w:val="Balloon Text"/>
    <w:basedOn w:val="Normal"/>
    <w:link w:val="TextodegloboCar"/>
    <w:uiPriority w:val="99"/>
    <w:semiHidden/>
    <w:unhideWhenUsed/>
    <w:rsid w:val="004B19F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B19F2"/>
    <w:rPr>
      <w:rFonts w:ascii="Segoe UI" w:hAnsi="Segoe UI" w:cs="Segoe UI"/>
      <w:sz w:val="18"/>
      <w:szCs w:val="18"/>
    </w:rPr>
  </w:style>
  <w:style w:type="paragraph" w:styleId="Revisin">
    <w:name w:val="Revision"/>
    <w:hidden/>
    <w:uiPriority w:val="99"/>
    <w:semiHidden/>
    <w:rsid w:val="00F22604"/>
    <w:rPr>
      <w:sz w:val="22"/>
      <w:szCs w:val="22"/>
      <w:lang w:eastAsia="en-US"/>
    </w:rPr>
  </w:style>
  <w:style w:type="character" w:customStyle="1" w:styleId="PrrafodelistaCar">
    <w:name w:val="Párrafo de lista Car"/>
    <w:link w:val="Prrafodelista"/>
    <w:uiPriority w:val="34"/>
    <w:locked/>
    <w:rsid w:val="00371AE1"/>
    <w:rPr>
      <w:rFonts w:ascii="Arial" w:eastAsia="Arial" w:hAnsi="Arial" w:cs="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112B500543D745B8E056279E755E4C" ma:contentTypeVersion="1" ma:contentTypeDescription="Crear nuevo documento." ma:contentTypeScope="" ma:versionID="c6b254563df814cacc2bb4e5c9921d22">
  <xsd:schema xmlns:xsd="http://www.w3.org/2001/XMLSchema" xmlns:xs="http://www.w3.org/2001/XMLSchema" xmlns:p="http://schemas.microsoft.com/office/2006/metadata/properties" xmlns:ns2="19e05a1e-8941-420a-a404-2576627edefb" targetNamespace="http://schemas.microsoft.com/office/2006/metadata/properties" ma:root="true" ma:fieldsID="5a53b6e4d0185a517dce386d8fa93f7f" ns2:_="">
    <xsd:import namespace="19e05a1e-8941-420a-a404-2576627ede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05a1e-8941-420a-a404-2576627ede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e05a1e-8941-420a-a404-2576627edefb">QSSDC2C2C52S-909026056-294122</_dlc_DocId>
    <_dlc_DocIdUrl xmlns="19e05a1e-8941-420a-a404-2576627edefb">
      <Url>http://cms.mtc.gob.pe/sitios/AnexoSTD/_layouts/15/DocIdRedir.aspx?ID=QSSDC2C2C52S-909026056-294122</Url>
      <Description>QSSDC2C2C52S-909026056-294122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B6619-E2A1-4985-AE51-E0B9EDE5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05a1e-8941-420a-a404-2576627e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9A10E-F616-46AC-9BBC-BB9F86D1ACB2}">
  <ds:schemaRefs>
    <ds:schemaRef ds:uri="http://schemas.microsoft.com/office/2006/metadata/properties"/>
    <ds:schemaRef ds:uri="http://schemas.microsoft.com/office/infopath/2007/PartnerControls"/>
    <ds:schemaRef ds:uri="19e05a1e-8941-420a-a404-2576627edefb"/>
  </ds:schemaRefs>
</ds:datastoreItem>
</file>

<file path=customXml/itemProps3.xml><?xml version="1.0" encoding="utf-8"?>
<ds:datastoreItem xmlns:ds="http://schemas.openxmlformats.org/officeDocument/2006/customXml" ds:itemID="{69190CFE-C49C-48A7-A41B-EB946C53720C}">
  <ds:schemaRefs>
    <ds:schemaRef ds:uri="http://schemas.microsoft.com/sharepoint/v3/contenttype/forms"/>
  </ds:schemaRefs>
</ds:datastoreItem>
</file>

<file path=customXml/itemProps4.xml><?xml version="1.0" encoding="utf-8"?>
<ds:datastoreItem xmlns:ds="http://schemas.openxmlformats.org/officeDocument/2006/customXml" ds:itemID="{B952FC2E-4855-4874-B51C-026ED101B2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dc:creator>
  <cp:lastModifiedBy>Benavente Orué, Andrea Paola</cp:lastModifiedBy>
  <cp:revision>3</cp:revision>
  <dcterms:created xsi:type="dcterms:W3CDTF">2020-06-19T03:33:00Z</dcterms:created>
  <dcterms:modified xsi:type="dcterms:W3CDTF">2020-06-19T23:40:00Z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0x01010094112B500543D745B8E056279E755E4C</vt:lpwstr>
  </property>
  <property fmtid="{D5CDD505-2E9C-101B-9397-08002B2CF9AE}" pid="3" name="_dlc_DocIdItemGuid">
    <vt:lpwstr>07433879-75f5-4a69-966f-1e1f51433383</vt:lpwstr>
  </property>
  <property fmtid="{D5CDD505-2E9C-101B-9397-08002B2CF9AE}" pid="4" name="_CopySource">
    <vt:lpwstr>/data00/sharepoint/115083202000507100044610632754020200617030259.docx</vt:lpwstr>
  </property>
</Properties>
</file>